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261D" w14:textId="10271BAE" w:rsidR="00A70BF5" w:rsidRPr="00A70BF5" w:rsidRDefault="00A70BF5" w:rsidP="00F226BE">
      <w:pPr>
        <w:spacing w:after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A70BF5">
        <w:rPr>
          <w:rFonts w:asciiTheme="majorBidi" w:hAnsiTheme="majorBidi" w:cstheme="majorBidi"/>
          <w:b/>
          <w:sz w:val="24"/>
          <w:szCs w:val="24"/>
        </w:rPr>
        <w:t>2.</w:t>
      </w:r>
      <w:r w:rsidR="0093611E">
        <w:rPr>
          <w:rFonts w:asciiTheme="majorBidi" w:hAnsiTheme="majorBidi" w:cstheme="majorBidi"/>
          <w:b/>
          <w:sz w:val="24"/>
          <w:szCs w:val="24"/>
        </w:rPr>
        <w:t> </w:t>
      </w:r>
      <w:r w:rsidRPr="00A70BF5">
        <w:rPr>
          <w:rFonts w:asciiTheme="majorBidi" w:hAnsiTheme="majorBidi" w:cstheme="majorBidi"/>
          <w:b/>
          <w:sz w:val="24"/>
          <w:szCs w:val="24"/>
        </w:rPr>
        <w:t xml:space="preserve">pielikums </w:t>
      </w:r>
    </w:p>
    <w:p w14:paraId="4AA4F968" w14:textId="2D5032FF" w:rsidR="001F4CC7" w:rsidRDefault="00A70BF5" w:rsidP="00F226BE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F4CC7">
        <w:rPr>
          <w:rFonts w:asciiTheme="majorBidi" w:hAnsiTheme="majorBidi" w:cstheme="majorBidi"/>
          <w:sz w:val="24"/>
          <w:szCs w:val="24"/>
        </w:rPr>
        <w:t xml:space="preserve">Dobeles novada domes </w:t>
      </w:r>
    </w:p>
    <w:p w14:paraId="3600E093" w14:textId="3B0E2352" w:rsidR="00A70BF5" w:rsidRDefault="00A70BF5" w:rsidP="00F226BE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</w:t>
      </w:r>
      <w:r w:rsidR="00F226BE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>.</w:t>
      </w:r>
      <w:r w:rsidR="0093611E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gada 2</w:t>
      </w:r>
      <w:r w:rsidR="00F226BE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>.</w:t>
      </w:r>
      <w:r w:rsidR="0093611E">
        <w:rPr>
          <w:rFonts w:asciiTheme="majorBidi" w:hAnsiTheme="majorBidi" w:cstheme="majorBidi"/>
          <w:sz w:val="24"/>
          <w:szCs w:val="24"/>
        </w:rPr>
        <w:t> </w:t>
      </w:r>
      <w:r w:rsidR="00F226BE">
        <w:rPr>
          <w:rFonts w:asciiTheme="majorBidi" w:hAnsiTheme="majorBidi" w:cstheme="majorBidi"/>
          <w:sz w:val="24"/>
          <w:szCs w:val="24"/>
        </w:rPr>
        <w:t xml:space="preserve">oktobra </w:t>
      </w:r>
      <w:r>
        <w:rPr>
          <w:rFonts w:asciiTheme="majorBidi" w:hAnsiTheme="majorBidi" w:cstheme="majorBidi"/>
          <w:sz w:val="24"/>
          <w:szCs w:val="24"/>
        </w:rPr>
        <w:t>lēmumam Nr</w:t>
      </w:r>
      <w:r w:rsidR="00F63106">
        <w:rPr>
          <w:rFonts w:asciiTheme="majorBidi" w:hAnsiTheme="majorBidi" w:cstheme="majorBidi"/>
          <w:sz w:val="24"/>
          <w:szCs w:val="24"/>
        </w:rPr>
        <w:t>.</w:t>
      </w:r>
      <w:r w:rsidR="0093611E">
        <w:rPr>
          <w:rFonts w:asciiTheme="majorBidi" w:hAnsiTheme="majorBidi" w:cstheme="majorBidi"/>
          <w:sz w:val="24"/>
          <w:szCs w:val="24"/>
        </w:rPr>
        <w:t> </w:t>
      </w:r>
      <w:bookmarkStart w:id="0" w:name="_GoBack"/>
      <w:bookmarkEnd w:id="0"/>
      <w:r w:rsidR="0093611E">
        <w:rPr>
          <w:rFonts w:asciiTheme="majorBidi" w:hAnsiTheme="majorBidi" w:cstheme="majorBidi"/>
          <w:sz w:val="24"/>
          <w:szCs w:val="24"/>
        </w:rPr>
        <w:t>287</w:t>
      </w:r>
      <w:r w:rsidR="00F63106">
        <w:rPr>
          <w:rFonts w:asciiTheme="majorBidi" w:hAnsiTheme="majorBidi" w:cstheme="majorBidi"/>
          <w:sz w:val="24"/>
          <w:szCs w:val="24"/>
        </w:rPr>
        <w:t>/13</w:t>
      </w:r>
    </w:p>
    <w:p w14:paraId="5AB4406A" w14:textId="77777777" w:rsidR="00B00EC1" w:rsidRPr="00A70BF5" w:rsidRDefault="00A21EB1" w:rsidP="00A21EB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70BF5">
        <w:rPr>
          <w:rFonts w:asciiTheme="majorBidi" w:hAnsiTheme="majorBidi" w:cstheme="majorBidi"/>
          <w:b/>
          <w:sz w:val="24"/>
          <w:szCs w:val="24"/>
        </w:rPr>
        <w:t>PIESLĒGUMA NODROŠINĀJUMA PLĀNS</w:t>
      </w:r>
    </w:p>
    <w:p w14:paraId="50181A9E" w14:textId="09C09B69" w:rsidR="00A21EB1" w:rsidRPr="00F226BE" w:rsidRDefault="00A70BF5" w:rsidP="00A21EB1">
      <w:pPr>
        <w:jc w:val="center"/>
        <w:rPr>
          <w:rFonts w:asciiTheme="majorBidi" w:hAnsiTheme="majorBidi" w:cstheme="majorBidi"/>
        </w:rPr>
      </w:pPr>
      <w:r w:rsidRPr="00F226BE">
        <w:rPr>
          <w:rFonts w:asciiTheme="majorBidi" w:hAnsiTheme="majorBidi" w:cstheme="majorBidi"/>
        </w:rPr>
        <w:t>centralizētai kanalizācijas sistēmai  plānoto pieslēgumu izveidei p</w:t>
      </w:r>
      <w:r w:rsidR="00A21EB1" w:rsidRPr="00F226BE">
        <w:rPr>
          <w:rFonts w:asciiTheme="majorBidi" w:hAnsiTheme="majorBidi" w:cstheme="majorBidi"/>
        </w:rPr>
        <w:t>rojekta “Kanalizācijas tīklu paplašināšana Dobeles aglomerācija” ietvaros</w:t>
      </w:r>
    </w:p>
    <w:tbl>
      <w:tblPr>
        <w:tblStyle w:val="TableGrid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315"/>
        <w:gridCol w:w="894"/>
        <w:gridCol w:w="2254"/>
        <w:gridCol w:w="941"/>
        <w:gridCol w:w="1482"/>
        <w:gridCol w:w="1482"/>
        <w:gridCol w:w="1482"/>
        <w:gridCol w:w="1363"/>
        <w:gridCol w:w="1735"/>
      </w:tblGrid>
      <w:tr w:rsidR="00F226BE" w:rsidRPr="00F226BE" w14:paraId="7D35DB7B" w14:textId="77777777" w:rsidTr="00F226BE">
        <w:trPr>
          <w:trHeight w:val="1790"/>
        </w:trPr>
        <w:tc>
          <w:tcPr>
            <w:tcW w:w="2315" w:type="dxa"/>
          </w:tcPr>
          <w:p w14:paraId="47C1FFC2" w14:textId="3D16BF12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5D086" wp14:editId="6ACF786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61595</wp:posOffset>
                      </wp:positionV>
                      <wp:extent cx="1402080" cy="1057275"/>
                      <wp:effectExtent l="0" t="0" r="2667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2080" cy="10572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52FBDC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4.85pt" to="107.2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F226BE">
              <w:rPr>
                <w:rFonts w:asciiTheme="majorBidi" w:hAnsiTheme="majorBidi" w:cstheme="majorBidi"/>
              </w:rPr>
              <w:t xml:space="preserve">Gads </w:t>
            </w:r>
          </w:p>
          <w:p w14:paraId="787D7F94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</w:p>
          <w:p w14:paraId="01944343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</w:p>
          <w:p w14:paraId="2FE5036F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</w:p>
          <w:p w14:paraId="7FC18599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</w:p>
          <w:p w14:paraId="3E2F46D7" w14:textId="0850A27D" w:rsidR="00F226BE" w:rsidRPr="00F226BE" w:rsidRDefault="00F226BE" w:rsidP="00F226BE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Pro</w:t>
            </w:r>
            <w:r w:rsidRPr="00F226BE">
              <w:rPr>
                <w:rFonts w:asciiTheme="majorBidi" w:hAnsiTheme="majorBidi" w:cstheme="majorBidi"/>
              </w:rPr>
              <w:t>jekta īstenošanas vieta</w:t>
            </w:r>
          </w:p>
        </w:tc>
        <w:tc>
          <w:tcPr>
            <w:tcW w:w="894" w:type="dxa"/>
          </w:tcPr>
          <w:p w14:paraId="36BD78E7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2017.</w:t>
            </w:r>
          </w:p>
        </w:tc>
        <w:tc>
          <w:tcPr>
            <w:tcW w:w="2254" w:type="dxa"/>
          </w:tcPr>
          <w:p w14:paraId="1DD404BF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2018. Sasniedzamais starpposma iznākuma rādītājs ( notekūdeņu attīrīšanas sistēmu apkalpoto iedzīvotāju skaita pieaigums)</w:t>
            </w:r>
          </w:p>
        </w:tc>
        <w:tc>
          <w:tcPr>
            <w:tcW w:w="941" w:type="dxa"/>
          </w:tcPr>
          <w:p w14:paraId="69C6CA28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482" w:type="dxa"/>
          </w:tcPr>
          <w:p w14:paraId="0A465845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482" w:type="dxa"/>
          </w:tcPr>
          <w:p w14:paraId="47B50C95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482" w:type="dxa"/>
          </w:tcPr>
          <w:p w14:paraId="07B08ED8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363" w:type="dxa"/>
          </w:tcPr>
          <w:p w14:paraId="41D735E5" w14:textId="064AA3FA" w:rsidR="00F226BE" w:rsidRPr="00F226BE" w:rsidRDefault="00F226BE" w:rsidP="00A70BF5">
            <w:pPr>
              <w:rPr>
                <w:rFonts w:asciiTheme="majorBidi" w:hAnsiTheme="majorBidi" w:cstheme="majorBidi"/>
                <w:b/>
              </w:rPr>
            </w:pPr>
            <w:r w:rsidRPr="00F226BE">
              <w:rPr>
                <w:rFonts w:asciiTheme="majorBidi" w:hAnsiTheme="majorBidi" w:cstheme="majorBidi"/>
                <w:b/>
              </w:rPr>
              <w:t>2023.</w:t>
            </w:r>
          </w:p>
        </w:tc>
        <w:tc>
          <w:tcPr>
            <w:tcW w:w="1735" w:type="dxa"/>
          </w:tcPr>
          <w:p w14:paraId="1B64985D" w14:textId="152E216A" w:rsidR="00F226BE" w:rsidRPr="00F226BE" w:rsidRDefault="00F226BE" w:rsidP="00A70BF5">
            <w:pPr>
              <w:rPr>
                <w:rFonts w:asciiTheme="majorBidi" w:hAnsiTheme="majorBidi" w:cstheme="majorBidi"/>
                <w:b/>
              </w:rPr>
            </w:pPr>
            <w:r w:rsidRPr="00F226BE">
              <w:rPr>
                <w:rFonts w:asciiTheme="majorBidi" w:hAnsiTheme="majorBidi" w:cstheme="majorBidi"/>
                <w:b/>
              </w:rPr>
              <w:t>2023. Sasniedzamais iznākuma rādītājs.</w:t>
            </w:r>
          </w:p>
        </w:tc>
      </w:tr>
      <w:tr w:rsidR="00F226BE" w:rsidRPr="00F226BE" w14:paraId="4B5E3EBD" w14:textId="77777777" w:rsidTr="00F226BE">
        <w:trPr>
          <w:trHeight w:val="1120"/>
        </w:trPr>
        <w:tc>
          <w:tcPr>
            <w:tcW w:w="2315" w:type="dxa"/>
          </w:tcPr>
          <w:p w14:paraId="16320AA0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Projekta “Kanalizācijas tīklu paplašināšana Dobeles aglomerācija” ietvaros</w:t>
            </w:r>
          </w:p>
        </w:tc>
        <w:tc>
          <w:tcPr>
            <w:tcW w:w="894" w:type="dxa"/>
          </w:tcPr>
          <w:p w14:paraId="18CE693B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54" w:type="dxa"/>
          </w:tcPr>
          <w:p w14:paraId="41A7AC63" w14:textId="16CF4482" w:rsidR="00F226BE" w:rsidRPr="000B3FFF" w:rsidRDefault="00767926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51</w:t>
            </w:r>
          </w:p>
        </w:tc>
        <w:tc>
          <w:tcPr>
            <w:tcW w:w="941" w:type="dxa"/>
          </w:tcPr>
          <w:p w14:paraId="588D3565" w14:textId="64B73FC8" w:rsidR="00F226BE" w:rsidRPr="000B3FFF" w:rsidRDefault="000B3FFF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60</w:t>
            </w:r>
          </w:p>
        </w:tc>
        <w:tc>
          <w:tcPr>
            <w:tcW w:w="1482" w:type="dxa"/>
          </w:tcPr>
          <w:p w14:paraId="3C463EF4" w14:textId="6526F8E8" w:rsidR="00F226BE" w:rsidRPr="000B3FFF" w:rsidRDefault="00767926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125</w:t>
            </w:r>
          </w:p>
        </w:tc>
        <w:tc>
          <w:tcPr>
            <w:tcW w:w="1482" w:type="dxa"/>
          </w:tcPr>
          <w:p w14:paraId="6DE9F99E" w14:textId="157A2862" w:rsidR="00F226BE" w:rsidRPr="000B3FFF" w:rsidRDefault="00767926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125</w:t>
            </w:r>
          </w:p>
        </w:tc>
        <w:tc>
          <w:tcPr>
            <w:tcW w:w="1482" w:type="dxa"/>
          </w:tcPr>
          <w:p w14:paraId="441A2094" w14:textId="1CAB113E" w:rsidR="00F226BE" w:rsidRPr="000B3FFF" w:rsidRDefault="00767926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1</w:t>
            </w:r>
            <w:r w:rsidR="000B3FFF" w:rsidRPr="000B3FFF"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1363" w:type="dxa"/>
          </w:tcPr>
          <w:p w14:paraId="1B4D3957" w14:textId="0081EC48" w:rsidR="00F226BE" w:rsidRPr="000B3FFF" w:rsidRDefault="000B3FFF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257</w:t>
            </w:r>
          </w:p>
        </w:tc>
        <w:tc>
          <w:tcPr>
            <w:tcW w:w="1735" w:type="dxa"/>
          </w:tcPr>
          <w:p w14:paraId="3960A31C" w14:textId="7190B561" w:rsidR="00F226BE" w:rsidRPr="000B3FFF" w:rsidRDefault="00E87E0D" w:rsidP="00A70BF5">
            <w:pPr>
              <w:rPr>
                <w:rFonts w:asciiTheme="majorBidi" w:hAnsiTheme="majorBidi" w:cstheme="majorBidi"/>
                <w:b/>
                <w:bCs/>
              </w:rPr>
            </w:pPr>
            <w:r w:rsidRPr="000B3FFF">
              <w:rPr>
                <w:rFonts w:asciiTheme="majorBidi" w:hAnsiTheme="majorBidi" w:cstheme="majorBidi"/>
                <w:b/>
                <w:bCs/>
              </w:rPr>
              <w:t>758</w:t>
            </w:r>
          </w:p>
        </w:tc>
      </w:tr>
      <w:tr w:rsidR="00F226BE" w:rsidRPr="00F226BE" w14:paraId="45622DEA" w14:textId="77777777" w:rsidTr="00F226BE">
        <w:trPr>
          <w:trHeight w:val="307"/>
        </w:trPr>
        <w:tc>
          <w:tcPr>
            <w:tcW w:w="2315" w:type="dxa"/>
          </w:tcPr>
          <w:p w14:paraId="7999C321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 xml:space="preserve">t.sk. </w:t>
            </w:r>
            <w:r w:rsidRPr="00F226BE">
              <w:rPr>
                <w:rFonts w:asciiTheme="majorBidi" w:hAnsiTheme="majorBidi" w:cstheme="majorBidi"/>
                <w:b/>
              </w:rPr>
              <w:t>Dobeles pilsēta</w:t>
            </w:r>
          </w:p>
        </w:tc>
        <w:tc>
          <w:tcPr>
            <w:tcW w:w="894" w:type="dxa"/>
          </w:tcPr>
          <w:p w14:paraId="1ADFCD77" w14:textId="77777777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54" w:type="dxa"/>
          </w:tcPr>
          <w:p w14:paraId="16DA071B" w14:textId="178A121D" w:rsidR="00F226BE" w:rsidRPr="00F226BE" w:rsidRDefault="00767926" w:rsidP="00A70B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941" w:type="dxa"/>
          </w:tcPr>
          <w:p w14:paraId="454F451D" w14:textId="1405D6ED" w:rsidR="00F226BE" w:rsidRPr="00F226BE" w:rsidRDefault="000B3FFF" w:rsidP="00A70B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482" w:type="dxa"/>
          </w:tcPr>
          <w:p w14:paraId="0D1B4D1E" w14:textId="7F35CB21" w:rsidR="00F226BE" w:rsidRPr="00F226BE" w:rsidRDefault="000B3FFF" w:rsidP="00A70B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1482" w:type="dxa"/>
          </w:tcPr>
          <w:p w14:paraId="6B6A3ABB" w14:textId="64D751C1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1</w:t>
            </w:r>
            <w:r w:rsidR="000B3FFF">
              <w:rPr>
                <w:rFonts w:asciiTheme="majorBidi" w:hAnsiTheme="majorBidi" w:cstheme="majorBidi"/>
              </w:rPr>
              <w:t>07</w:t>
            </w:r>
          </w:p>
        </w:tc>
        <w:tc>
          <w:tcPr>
            <w:tcW w:w="1482" w:type="dxa"/>
          </w:tcPr>
          <w:p w14:paraId="655C1908" w14:textId="628F6C48" w:rsidR="00F226BE" w:rsidRPr="00F226BE" w:rsidRDefault="000B3FFF" w:rsidP="00A70B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1363" w:type="dxa"/>
          </w:tcPr>
          <w:p w14:paraId="3F0BE2DA" w14:textId="597460DE" w:rsidR="00F226BE" w:rsidRPr="00F226BE" w:rsidRDefault="00E83BF2" w:rsidP="00A70B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1735" w:type="dxa"/>
          </w:tcPr>
          <w:p w14:paraId="193946EA" w14:textId="1EEE9E00" w:rsidR="00F226BE" w:rsidRPr="00F226BE" w:rsidRDefault="00F226BE" w:rsidP="00A70BF5">
            <w:pPr>
              <w:rPr>
                <w:rFonts w:asciiTheme="majorBidi" w:hAnsiTheme="majorBidi" w:cstheme="majorBidi"/>
              </w:rPr>
            </w:pPr>
            <w:r w:rsidRPr="00F226BE">
              <w:rPr>
                <w:rFonts w:asciiTheme="majorBidi" w:hAnsiTheme="majorBidi" w:cstheme="majorBidi"/>
              </w:rPr>
              <w:t>6</w:t>
            </w:r>
            <w:r w:rsidR="00E87E0D">
              <w:rPr>
                <w:rFonts w:asciiTheme="majorBidi" w:hAnsiTheme="majorBidi" w:cstheme="majorBidi"/>
              </w:rPr>
              <w:t>53</w:t>
            </w:r>
          </w:p>
        </w:tc>
      </w:tr>
      <w:tr w:rsidR="00F226BE" w:rsidRPr="00F226BE" w14:paraId="7601C217" w14:textId="77777777" w:rsidTr="00F226BE">
        <w:trPr>
          <w:trHeight w:val="437"/>
        </w:trPr>
        <w:tc>
          <w:tcPr>
            <w:tcW w:w="2315" w:type="dxa"/>
          </w:tcPr>
          <w:p w14:paraId="6288389B" w14:textId="77777777" w:rsidR="00F226BE" w:rsidRPr="00F226BE" w:rsidRDefault="00F226BE" w:rsidP="00A70BF5">
            <w:pPr>
              <w:rPr>
                <w:rFonts w:asciiTheme="majorBidi" w:hAnsiTheme="majorBidi" w:cstheme="majorBidi"/>
                <w:b/>
              </w:rPr>
            </w:pPr>
            <w:r w:rsidRPr="00F226BE">
              <w:rPr>
                <w:rFonts w:asciiTheme="majorBidi" w:hAnsiTheme="majorBidi" w:cstheme="majorBidi"/>
                <w:b/>
              </w:rPr>
              <w:t>Miltiņu ciems</w:t>
            </w:r>
          </w:p>
        </w:tc>
        <w:tc>
          <w:tcPr>
            <w:tcW w:w="894" w:type="dxa"/>
          </w:tcPr>
          <w:p w14:paraId="1EF080E8" w14:textId="77777777" w:rsidR="00F226BE" w:rsidRPr="00E83BF2" w:rsidRDefault="00F226BE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54" w:type="dxa"/>
          </w:tcPr>
          <w:p w14:paraId="0B8DFBA8" w14:textId="54171BF7" w:rsidR="00F226BE" w:rsidRPr="00E83BF2" w:rsidRDefault="00767926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941" w:type="dxa"/>
          </w:tcPr>
          <w:p w14:paraId="60FC186C" w14:textId="2FD65F2C" w:rsidR="00F226BE" w:rsidRPr="00E83BF2" w:rsidRDefault="000B3FFF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82" w:type="dxa"/>
          </w:tcPr>
          <w:p w14:paraId="4241D082" w14:textId="18A88C5D" w:rsidR="00F226BE" w:rsidRPr="00E83BF2" w:rsidRDefault="000B3FFF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82" w:type="dxa"/>
          </w:tcPr>
          <w:p w14:paraId="71E8ECEE" w14:textId="51BCA4C8" w:rsidR="00F226BE" w:rsidRPr="00E83BF2" w:rsidRDefault="000B3FFF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82" w:type="dxa"/>
          </w:tcPr>
          <w:p w14:paraId="0FD66146" w14:textId="34696F4B" w:rsidR="00F226BE" w:rsidRPr="00E83BF2" w:rsidRDefault="000B3FFF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363" w:type="dxa"/>
          </w:tcPr>
          <w:p w14:paraId="2221DB52" w14:textId="16A33130" w:rsidR="00F226BE" w:rsidRPr="00E83BF2" w:rsidRDefault="000B3FFF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735" w:type="dxa"/>
          </w:tcPr>
          <w:p w14:paraId="2E5E62D1" w14:textId="460AA9D3" w:rsidR="00F226BE" w:rsidRPr="00E83BF2" w:rsidRDefault="00F226BE" w:rsidP="00A70BF5">
            <w:pPr>
              <w:rPr>
                <w:rFonts w:asciiTheme="majorBidi" w:hAnsiTheme="majorBidi" w:cstheme="majorBidi"/>
              </w:rPr>
            </w:pPr>
            <w:r w:rsidRPr="00E83BF2">
              <w:rPr>
                <w:rFonts w:asciiTheme="majorBidi" w:hAnsiTheme="majorBidi" w:cstheme="majorBidi"/>
              </w:rPr>
              <w:t>95</w:t>
            </w:r>
          </w:p>
        </w:tc>
      </w:tr>
      <w:tr w:rsidR="00F226BE" w:rsidRPr="00F226BE" w14:paraId="2997CE36" w14:textId="77777777" w:rsidTr="00F226BE">
        <w:trPr>
          <w:trHeight w:val="437"/>
        </w:trPr>
        <w:tc>
          <w:tcPr>
            <w:tcW w:w="2315" w:type="dxa"/>
          </w:tcPr>
          <w:p w14:paraId="645CFBC6" w14:textId="6F5400AF" w:rsidR="00F226BE" w:rsidRPr="000B3FFF" w:rsidRDefault="00F226BE" w:rsidP="00A70BF5">
            <w:pPr>
              <w:rPr>
                <w:rFonts w:asciiTheme="majorBidi" w:hAnsiTheme="majorBidi" w:cstheme="majorBidi"/>
                <w:b/>
              </w:rPr>
            </w:pPr>
            <w:r w:rsidRPr="000B3FFF">
              <w:rPr>
                <w:rFonts w:asciiTheme="majorBidi" w:hAnsiTheme="majorBidi" w:cstheme="majorBidi"/>
                <w:b/>
              </w:rPr>
              <w:t xml:space="preserve">Auru pagasta Rūpnieku ciems </w:t>
            </w:r>
          </w:p>
        </w:tc>
        <w:tc>
          <w:tcPr>
            <w:tcW w:w="894" w:type="dxa"/>
          </w:tcPr>
          <w:p w14:paraId="5E33C8FF" w14:textId="04AB1B0F" w:rsidR="00F226BE" w:rsidRPr="000B3FFF" w:rsidRDefault="00F226BE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54" w:type="dxa"/>
          </w:tcPr>
          <w:p w14:paraId="03B2D853" w14:textId="3339CE10" w:rsidR="00F226BE" w:rsidRPr="000B3FFF" w:rsidRDefault="00F226BE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41" w:type="dxa"/>
          </w:tcPr>
          <w:p w14:paraId="7F219B06" w14:textId="4BA31DD1" w:rsidR="00F226BE" w:rsidRPr="000B3FFF" w:rsidRDefault="00F226BE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82" w:type="dxa"/>
          </w:tcPr>
          <w:p w14:paraId="47454232" w14:textId="4BBBCB3E" w:rsidR="00F226BE" w:rsidRPr="000B3FFF" w:rsidRDefault="00F226BE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82" w:type="dxa"/>
          </w:tcPr>
          <w:p w14:paraId="47094C4F" w14:textId="7E70EE13" w:rsidR="00F226BE" w:rsidRPr="000B3FFF" w:rsidRDefault="00F226BE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82" w:type="dxa"/>
          </w:tcPr>
          <w:p w14:paraId="4AC14BDD" w14:textId="048EDA24" w:rsidR="00F226BE" w:rsidRPr="000B3FFF" w:rsidRDefault="00E87E0D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363" w:type="dxa"/>
          </w:tcPr>
          <w:p w14:paraId="5BF97BF9" w14:textId="44BC682A" w:rsidR="00F226BE" w:rsidRPr="000B3FFF" w:rsidRDefault="00E87E0D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735" w:type="dxa"/>
          </w:tcPr>
          <w:p w14:paraId="74883CF7" w14:textId="3757CB36" w:rsidR="00F226BE" w:rsidRPr="000B3FFF" w:rsidRDefault="00E87E0D" w:rsidP="00A70BF5">
            <w:pPr>
              <w:rPr>
                <w:rFonts w:asciiTheme="majorBidi" w:hAnsiTheme="majorBidi" w:cstheme="majorBidi"/>
              </w:rPr>
            </w:pPr>
            <w:r w:rsidRPr="000B3FFF">
              <w:rPr>
                <w:rFonts w:asciiTheme="majorBidi" w:hAnsiTheme="majorBidi" w:cstheme="majorBidi"/>
              </w:rPr>
              <w:t>10</w:t>
            </w:r>
          </w:p>
        </w:tc>
      </w:tr>
    </w:tbl>
    <w:p w14:paraId="3C7FE836" w14:textId="77777777" w:rsidR="00A21EB1" w:rsidRPr="00474E5B" w:rsidRDefault="00A21EB1" w:rsidP="00474E5B">
      <w:pPr>
        <w:spacing w:after="0"/>
        <w:rPr>
          <w:rFonts w:asciiTheme="majorBidi" w:hAnsiTheme="majorBidi" w:cstheme="majorBidi"/>
          <w:sz w:val="20"/>
          <w:szCs w:val="20"/>
        </w:rPr>
      </w:pPr>
      <w:r w:rsidRPr="00474E5B">
        <w:rPr>
          <w:rFonts w:asciiTheme="majorBidi" w:hAnsiTheme="majorBidi" w:cstheme="majorBidi"/>
          <w:b/>
          <w:bCs/>
          <w:sz w:val="20"/>
          <w:szCs w:val="20"/>
        </w:rPr>
        <w:t>Plānotie pasākumi:</w:t>
      </w:r>
      <w:r w:rsidR="00474E5B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1)</w:t>
      </w:r>
      <w:r w:rsidR="007F781B" w:rsidRPr="00474E5B">
        <w:rPr>
          <w:rFonts w:asciiTheme="majorBidi" w:hAnsiTheme="majorBidi" w:cstheme="majorBidi"/>
          <w:b/>
          <w:bCs/>
          <w:sz w:val="20"/>
          <w:szCs w:val="20"/>
        </w:rPr>
        <w:t>Normatīvā regulējuma izveide</w:t>
      </w:r>
      <w:r w:rsidR="007F781B" w:rsidRPr="00474E5B">
        <w:rPr>
          <w:rFonts w:asciiTheme="majorBidi" w:hAnsiTheme="majorBidi" w:cstheme="majorBidi"/>
          <w:sz w:val="20"/>
          <w:szCs w:val="20"/>
        </w:rPr>
        <w:br/>
        <w:t>Dobeles novada pašvaldības saistošie noteikumu izstrāde un izdošana, 201</w:t>
      </w:r>
      <w:r w:rsidR="001F4CC7" w:rsidRPr="00474E5B">
        <w:rPr>
          <w:rFonts w:asciiTheme="majorBidi" w:hAnsiTheme="majorBidi" w:cstheme="majorBidi"/>
          <w:sz w:val="20"/>
          <w:szCs w:val="20"/>
        </w:rPr>
        <w:t>8</w:t>
      </w:r>
      <w:r w:rsidR="007F781B" w:rsidRPr="00474E5B">
        <w:rPr>
          <w:rFonts w:asciiTheme="majorBidi" w:hAnsiTheme="majorBidi" w:cstheme="majorBidi"/>
          <w:sz w:val="20"/>
          <w:szCs w:val="20"/>
        </w:rPr>
        <w:t>. gads</w:t>
      </w:r>
      <w:r w:rsidR="001F4CC7" w:rsidRPr="00474E5B">
        <w:rPr>
          <w:rFonts w:asciiTheme="majorBidi" w:hAnsiTheme="majorBidi" w:cstheme="majorBidi"/>
          <w:sz w:val="20"/>
          <w:szCs w:val="20"/>
        </w:rPr>
        <w:t xml:space="preserve"> </w:t>
      </w:r>
    </w:p>
    <w:p w14:paraId="11FC4333" w14:textId="77777777" w:rsidR="007F781B" w:rsidRPr="00474E5B" w:rsidRDefault="00474E5B" w:rsidP="00474E5B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2)</w:t>
      </w:r>
      <w:r w:rsidR="007F781B" w:rsidRPr="00474E5B">
        <w:rPr>
          <w:rFonts w:asciiTheme="majorBidi" w:hAnsiTheme="majorBidi" w:cstheme="majorBidi"/>
          <w:b/>
          <w:bCs/>
          <w:sz w:val="20"/>
          <w:szCs w:val="20"/>
        </w:rPr>
        <w:t>Atbalsta mehānisms</w:t>
      </w:r>
      <w:r w:rsidR="007F781B" w:rsidRPr="00474E5B">
        <w:rPr>
          <w:rFonts w:asciiTheme="majorBidi" w:hAnsiTheme="majorBidi" w:cstheme="majorBidi"/>
          <w:sz w:val="20"/>
          <w:szCs w:val="20"/>
        </w:rPr>
        <w:br/>
      </w:r>
      <w:r w:rsidR="007F781B" w:rsidRPr="00E87E0D">
        <w:rPr>
          <w:rFonts w:asciiTheme="majorBidi" w:hAnsiTheme="majorBidi" w:cstheme="majorBidi"/>
          <w:sz w:val="20"/>
          <w:szCs w:val="20"/>
        </w:rPr>
        <w:t>Finansiāla un tehniska rakstura atbalsts pieslēgumu izveide</w:t>
      </w:r>
      <w:r w:rsidR="00C56261" w:rsidRPr="00E87E0D">
        <w:rPr>
          <w:rFonts w:asciiTheme="majorBidi" w:hAnsiTheme="majorBidi" w:cstheme="majorBidi"/>
          <w:sz w:val="20"/>
          <w:szCs w:val="20"/>
        </w:rPr>
        <w:t>i</w:t>
      </w:r>
      <w:r w:rsidR="007F781B" w:rsidRPr="00E87E0D">
        <w:rPr>
          <w:rFonts w:asciiTheme="majorBidi" w:hAnsiTheme="majorBidi" w:cstheme="majorBidi"/>
          <w:sz w:val="20"/>
          <w:szCs w:val="20"/>
        </w:rPr>
        <w:t>: nomaksas iespējas, tehnisko prasību atvieglošana un tehniskās dokumentācijas pieejamības nodrošināšana, 2018. –</w:t>
      </w:r>
      <w:r w:rsidR="00C56261" w:rsidRPr="00E87E0D">
        <w:rPr>
          <w:rFonts w:asciiTheme="majorBidi" w:hAnsiTheme="majorBidi" w:cstheme="majorBidi"/>
          <w:sz w:val="20"/>
          <w:szCs w:val="20"/>
        </w:rPr>
        <w:t xml:space="preserve"> 2022</w:t>
      </w:r>
      <w:r w:rsidR="007F781B" w:rsidRPr="00E87E0D">
        <w:rPr>
          <w:rFonts w:asciiTheme="majorBidi" w:hAnsiTheme="majorBidi" w:cstheme="majorBidi"/>
          <w:sz w:val="20"/>
          <w:szCs w:val="20"/>
        </w:rPr>
        <w:t>.</w:t>
      </w:r>
      <w:r w:rsidR="00C56261" w:rsidRPr="00E87E0D">
        <w:rPr>
          <w:rFonts w:asciiTheme="majorBidi" w:hAnsiTheme="majorBidi" w:cstheme="majorBidi"/>
          <w:sz w:val="20"/>
          <w:szCs w:val="20"/>
        </w:rPr>
        <w:t xml:space="preserve"> gads</w:t>
      </w:r>
    </w:p>
    <w:p w14:paraId="15AABE5E" w14:textId="7ADCE158" w:rsidR="007F781B" w:rsidRDefault="00474E5B" w:rsidP="00474E5B">
      <w:pPr>
        <w:spacing w:after="0"/>
        <w:rPr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3)</w:t>
      </w:r>
      <w:r w:rsidR="007F781B" w:rsidRPr="00474E5B">
        <w:rPr>
          <w:rFonts w:asciiTheme="majorBidi" w:hAnsiTheme="majorBidi" w:cstheme="majorBidi"/>
          <w:b/>
          <w:bCs/>
          <w:sz w:val="20"/>
          <w:szCs w:val="20"/>
        </w:rPr>
        <w:t>Sabiedrības informēšanas pasākumi un aktivitātes</w:t>
      </w:r>
      <w:r w:rsidR="007F781B" w:rsidRPr="00474E5B">
        <w:rPr>
          <w:rFonts w:asciiTheme="majorBidi" w:hAnsiTheme="majorBidi" w:cstheme="majorBidi"/>
          <w:sz w:val="20"/>
          <w:szCs w:val="20"/>
        </w:rPr>
        <w:br/>
        <w:t>Informācij</w:t>
      </w:r>
      <w:r w:rsidR="00C56261" w:rsidRPr="00474E5B">
        <w:rPr>
          <w:rFonts w:asciiTheme="majorBidi" w:hAnsiTheme="majorBidi" w:cstheme="majorBidi"/>
          <w:sz w:val="20"/>
          <w:szCs w:val="20"/>
        </w:rPr>
        <w:t>as ievietošana internetā vietnē</w:t>
      </w:r>
      <w:r w:rsidR="007F781B" w:rsidRPr="00474E5B">
        <w:rPr>
          <w:rFonts w:asciiTheme="majorBidi" w:hAnsiTheme="majorBidi" w:cstheme="majorBidi"/>
          <w:sz w:val="20"/>
          <w:szCs w:val="20"/>
        </w:rPr>
        <w:t xml:space="preserve"> </w:t>
      </w:r>
      <w:hyperlink r:id="rId5" w:history="1">
        <w:r w:rsidR="007F781B" w:rsidRPr="00474E5B">
          <w:rPr>
            <w:rStyle w:val="Hyperlink"/>
            <w:rFonts w:asciiTheme="majorBidi" w:hAnsiTheme="majorBidi" w:cstheme="majorBidi"/>
            <w:sz w:val="20"/>
            <w:szCs w:val="20"/>
          </w:rPr>
          <w:t>www.dobelesudens.lv</w:t>
        </w:r>
      </w:hyperlink>
      <w:r w:rsidR="007F781B" w:rsidRPr="00474E5B">
        <w:rPr>
          <w:rFonts w:asciiTheme="majorBidi" w:hAnsiTheme="majorBidi" w:cstheme="majorBidi"/>
          <w:sz w:val="20"/>
          <w:szCs w:val="20"/>
        </w:rPr>
        <w:t xml:space="preserve">, informācija par pieslēgumu izveides norisi atbilstoši pieslēgumu nodrošinājuma plānam un laika grafikam, par sabiedrisko ūdenssaimniecības paklapojumu sniedzēja projekta ietvaros plānoto </w:t>
      </w:r>
      <w:r w:rsidR="00DD6C0B" w:rsidRPr="00474E5B">
        <w:rPr>
          <w:rFonts w:asciiTheme="majorBidi" w:hAnsiTheme="majorBidi" w:cstheme="majorBidi"/>
          <w:sz w:val="20"/>
          <w:szCs w:val="20"/>
        </w:rPr>
        <w:t>ieņēmumu nodrošināšanu, par uzlabojumiem notekūdeņu savākša</w:t>
      </w:r>
      <w:r w:rsidR="00C56261" w:rsidRPr="00474E5B">
        <w:rPr>
          <w:rFonts w:asciiTheme="majorBidi" w:hAnsiTheme="majorBidi" w:cstheme="majorBidi"/>
          <w:sz w:val="20"/>
          <w:szCs w:val="20"/>
        </w:rPr>
        <w:t>nas sistēmās un vides kvalitāti</w:t>
      </w:r>
      <w:r w:rsidR="00DD6C0B" w:rsidRPr="00474E5B">
        <w:rPr>
          <w:rFonts w:asciiTheme="majorBidi" w:hAnsiTheme="majorBidi" w:cstheme="majorBidi"/>
          <w:sz w:val="20"/>
          <w:szCs w:val="20"/>
        </w:rPr>
        <w:t>, par ES fondu projekta ilgtspēju un rādītāju nodrošināšanu projekta pēcuzraudzības periodā 2017. -2027.gads.</w:t>
      </w:r>
      <w:r w:rsidR="00DD6C0B" w:rsidRPr="00474E5B">
        <w:rPr>
          <w:sz w:val="20"/>
          <w:szCs w:val="20"/>
        </w:rPr>
        <w:t xml:space="preserve"> </w:t>
      </w:r>
    </w:p>
    <w:p w14:paraId="06BDF86A" w14:textId="40EFAF55" w:rsidR="00E83BF2" w:rsidRDefault="00E83BF2" w:rsidP="00474E5B">
      <w:pPr>
        <w:spacing w:after="0"/>
        <w:rPr>
          <w:sz w:val="20"/>
          <w:szCs w:val="20"/>
        </w:rPr>
      </w:pPr>
    </w:p>
    <w:p w14:paraId="46262BE4" w14:textId="578560F3" w:rsidR="00E83BF2" w:rsidRPr="00474E5B" w:rsidRDefault="00E83BF2" w:rsidP="00474E5B">
      <w:pPr>
        <w:spacing w:after="0"/>
        <w:rPr>
          <w:sz w:val="20"/>
          <w:szCs w:val="20"/>
        </w:rPr>
      </w:pPr>
    </w:p>
    <w:sectPr w:rsidR="00E83BF2" w:rsidRPr="00474E5B" w:rsidSect="00A21E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4F0D"/>
    <w:multiLevelType w:val="hybridMultilevel"/>
    <w:tmpl w:val="BF407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3CC2"/>
    <w:multiLevelType w:val="hybridMultilevel"/>
    <w:tmpl w:val="202E0F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08D"/>
    <w:multiLevelType w:val="hybridMultilevel"/>
    <w:tmpl w:val="F4F26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1F"/>
    <w:rsid w:val="000B3FFF"/>
    <w:rsid w:val="001F4CC7"/>
    <w:rsid w:val="002F3670"/>
    <w:rsid w:val="0036031F"/>
    <w:rsid w:val="00474E5B"/>
    <w:rsid w:val="00767926"/>
    <w:rsid w:val="007F781B"/>
    <w:rsid w:val="0093611E"/>
    <w:rsid w:val="00A21EB1"/>
    <w:rsid w:val="00A70BF5"/>
    <w:rsid w:val="00B00EC1"/>
    <w:rsid w:val="00C56261"/>
    <w:rsid w:val="00DD6C0B"/>
    <w:rsid w:val="00E83BF2"/>
    <w:rsid w:val="00E87E0D"/>
    <w:rsid w:val="00F226BE"/>
    <w:rsid w:val="00F63106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30C29"/>
  <w15:chartTrackingRefBased/>
  <w15:docId w15:val="{60EE82A7-ABD1-4C70-B5A3-ADBD2588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8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F5"/>
    <w:rPr>
      <w:rFonts w:ascii="Segoe UI" w:hAnsi="Segoe UI" w:cs="Segoe UI"/>
      <w:noProof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ele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Dace Riterfelte</cp:lastModifiedBy>
  <cp:revision>3</cp:revision>
  <cp:lastPrinted>2020-10-20T12:02:00Z</cp:lastPrinted>
  <dcterms:created xsi:type="dcterms:W3CDTF">2020-10-21T10:15:00Z</dcterms:created>
  <dcterms:modified xsi:type="dcterms:W3CDTF">2020-10-30T07:13:00Z</dcterms:modified>
</cp:coreProperties>
</file>