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8235" w14:textId="77777777" w:rsidR="008713C6" w:rsidRDefault="008713C6" w:rsidP="008713C6">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3 “EZERMAĻI”</w:t>
      </w:r>
      <w:r w:rsidRPr="00A22BA3">
        <w:rPr>
          <w:b/>
          <w:szCs w:val="20"/>
          <w:lang w:val="pt-BR" w:eastAsia="ar-SA"/>
        </w:rPr>
        <w:t xml:space="preserve">, </w:t>
      </w:r>
    </w:p>
    <w:p w14:paraId="62F43465" w14:textId="77777777" w:rsidR="008713C6" w:rsidRDefault="008713C6" w:rsidP="008713C6">
      <w:pPr>
        <w:suppressAutoHyphens/>
        <w:overflowPunct w:val="0"/>
        <w:autoSpaceDE w:val="0"/>
        <w:jc w:val="center"/>
        <w:rPr>
          <w:b/>
          <w:szCs w:val="20"/>
          <w:lang w:val="pt-BR" w:eastAsia="ar-SA"/>
        </w:rPr>
      </w:pPr>
      <w:r>
        <w:rPr>
          <w:b/>
          <w:szCs w:val="20"/>
          <w:lang w:val="pt-BR" w:eastAsia="ar-SA"/>
        </w:rPr>
        <w:t xml:space="preserve">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p>
    <w:p w14:paraId="164B0C4A" w14:textId="77390EA8" w:rsidR="008713C6" w:rsidRPr="00A22BA3" w:rsidRDefault="008713C6" w:rsidP="008713C6">
      <w:pPr>
        <w:suppressAutoHyphens/>
        <w:overflowPunct w:val="0"/>
        <w:autoSpaceDE w:val="0"/>
        <w:jc w:val="center"/>
        <w:rPr>
          <w:b/>
          <w:szCs w:val="20"/>
          <w:lang w:val="pt-BR" w:eastAsia="ar-SA"/>
        </w:rPr>
      </w:pPr>
      <w:r>
        <w:rPr>
          <w:b/>
          <w:szCs w:val="20"/>
          <w:lang w:val="pt-BR" w:eastAsia="ar-SA"/>
        </w:rPr>
        <w:t xml:space="preserve">MUTISKĀS </w:t>
      </w:r>
      <w:r w:rsidRPr="00A22BA3">
        <w:rPr>
          <w:b/>
          <w:szCs w:val="20"/>
          <w:lang w:val="pt-BR" w:eastAsia="ar-SA"/>
        </w:rPr>
        <w:t>IZSOLES NOTEIKUMI</w:t>
      </w:r>
    </w:p>
    <w:p w14:paraId="58232EF9" w14:textId="77777777" w:rsidR="008713C6" w:rsidRDefault="008713C6" w:rsidP="008713C6">
      <w:pPr>
        <w:suppressAutoHyphens/>
        <w:overflowPunct w:val="0"/>
        <w:autoSpaceDE w:val="0"/>
        <w:jc w:val="center"/>
        <w:rPr>
          <w:b/>
          <w:bCs/>
          <w:szCs w:val="20"/>
          <w:lang w:eastAsia="ar-SA"/>
        </w:rPr>
      </w:pPr>
    </w:p>
    <w:p w14:paraId="58CDFA38" w14:textId="77777777" w:rsidR="008713C6" w:rsidRPr="0013499C" w:rsidRDefault="008713C6" w:rsidP="008713C6">
      <w:pPr>
        <w:numPr>
          <w:ilvl w:val="0"/>
          <w:numId w:val="1"/>
        </w:numPr>
        <w:suppressAutoHyphens/>
        <w:overflowPunct w:val="0"/>
        <w:autoSpaceDE w:val="0"/>
        <w:ind w:right="-766"/>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3 “Ezermaļi”, Annenieku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32,8 </w:t>
      </w:r>
      <w:r w:rsidRPr="00E54811">
        <w:t>m</w:t>
      </w:r>
      <w:r w:rsidRPr="00E54811">
        <w:rPr>
          <w:vertAlign w:val="superscript"/>
        </w:rPr>
        <w:t>2</w:t>
      </w:r>
      <w:r w:rsidRPr="00A22BA3">
        <w:rPr>
          <w:szCs w:val="20"/>
        </w:rPr>
        <w:t xml:space="preserve"> platībā un pie dzīvokļa piederošās kopīpašuma </w:t>
      </w:r>
      <w:r>
        <w:rPr>
          <w:szCs w:val="20"/>
        </w:rPr>
        <w:t>328/1573</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46420020097001 un zemes ar kadastra apzīmējumu 46420020097, ka</w:t>
      </w:r>
      <w:r w:rsidRPr="00A22BA3">
        <w:rPr>
          <w:szCs w:val="20"/>
        </w:rPr>
        <w:t xml:space="preserve">dastra numurs </w:t>
      </w:r>
      <w:r w:rsidRPr="0019553F">
        <w:t>46</w:t>
      </w:r>
      <w:r>
        <w:t>429000278</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71052888" w14:textId="77777777" w:rsidR="008713C6" w:rsidRPr="00484831" w:rsidRDefault="008713C6" w:rsidP="008713C6">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16</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viens t</w:t>
      </w:r>
      <w:r w:rsidRPr="00A22BA3">
        <w:rPr>
          <w:szCs w:val="20"/>
          <w:lang w:eastAsia="ar-SA"/>
        </w:rPr>
        <w:t>ūksto</w:t>
      </w:r>
      <w:r>
        <w:rPr>
          <w:szCs w:val="20"/>
          <w:lang w:eastAsia="ar-SA"/>
        </w:rPr>
        <w:t xml:space="preserve">tis seši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F36B03">
        <w:rPr>
          <w:b/>
          <w:szCs w:val="20"/>
          <w:lang w:eastAsia="ar-SA"/>
        </w:rPr>
        <w:t>1</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simts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jūlijs</w:t>
      </w:r>
      <w:r w:rsidRPr="00484831">
        <w:rPr>
          <w:b/>
          <w:bCs/>
          <w:szCs w:val="20"/>
        </w:rPr>
        <w:t>.</w:t>
      </w:r>
      <w:r w:rsidRPr="00484831">
        <w:rPr>
          <w:szCs w:val="20"/>
        </w:rPr>
        <w:t xml:space="preserve">  </w:t>
      </w:r>
    </w:p>
    <w:p w14:paraId="6DF0E2B6" w14:textId="77777777" w:rsidR="008713C6" w:rsidRPr="00A22BA3" w:rsidRDefault="008713C6" w:rsidP="008713C6">
      <w:pPr>
        <w:numPr>
          <w:ilvl w:val="0"/>
          <w:numId w:val="1"/>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7</w:t>
      </w:r>
      <w:r w:rsidRPr="00484831">
        <w:rPr>
          <w:b/>
          <w:bCs/>
          <w:color w:val="000000"/>
          <w:szCs w:val="20"/>
          <w:lang w:eastAsia="ar-SA"/>
        </w:rPr>
        <w:t>.</w:t>
      </w:r>
      <w:r>
        <w:rPr>
          <w:b/>
          <w:bCs/>
          <w:color w:val="000000"/>
          <w:szCs w:val="20"/>
          <w:lang w:eastAsia="ar-SA"/>
        </w:rPr>
        <w:t>maijā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4D366351" w14:textId="77777777" w:rsidR="008713C6" w:rsidRPr="00A22BA3" w:rsidRDefault="008713C6" w:rsidP="008713C6">
      <w:pPr>
        <w:numPr>
          <w:ilvl w:val="0"/>
          <w:numId w:val="1"/>
        </w:numPr>
        <w:tabs>
          <w:tab w:val="left" w:pos="540"/>
        </w:tabs>
        <w:suppressAutoHyphen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r w:rsidRPr="00667032">
        <w:rPr>
          <w:szCs w:val="20"/>
          <w:lang w:eastAsia="ar-SA"/>
        </w:rPr>
        <w:t xml:space="preserve"> </w:t>
      </w:r>
      <w:r w:rsidRPr="00A22BA3">
        <w:rPr>
          <w:szCs w:val="20"/>
          <w:lang w:eastAsia="ar-SA"/>
        </w:rPr>
        <w:t xml:space="preserve"> </w:t>
      </w:r>
    </w:p>
    <w:p w14:paraId="3A8CF65D" w14:textId="77777777" w:rsidR="008713C6" w:rsidRPr="008D4E93" w:rsidRDefault="008713C6" w:rsidP="008713C6">
      <w:pPr>
        <w:numPr>
          <w:ilvl w:val="0"/>
          <w:numId w:val="1"/>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8D4E93">
        <w:rPr>
          <w:szCs w:val="20"/>
          <w:lang w:eastAsia="ar-SA"/>
        </w:rPr>
        <w:t xml:space="preserve"> </w:t>
      </w:r>
      <w:r>
        <w:rPr>
          <w:szCs w:val="20"/>
          <w:lang w:eastAsia="ar-SA"/>
        </w:rPr>
        <w:t xml:space="preserve">  </w:t>
      </w:r>
      <w:r w:rsidRPr="008D4E93">
        <w:rPr>
          <w:szCs w:val="20"/>
          <w:lang w:eastAsia="ar-SA"/>
        </w:rPr>
        <w:t xml:space="preserve">Izsoles pretendentam, pēc iepazīšanās ar Izsoles objekta faktisko stāvokli, nav tiesības celt jebkādas pretenzijas par to. </w:t>
      </w:r>
    </w:p>
    <w:p w14:paraId="4CD422C1" w14:textId="77777777" w:rsidR="008713C6" w:rsidRPr="00A22BA3" w:rsidRDefault="008713C6" w:rsidP="008713C6">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5</w:t>
      </w:r>
      <w:r w:rsidRPr="00484831">
        <w:rPr>
          <w:b/>
          <w:bCs/>
          <w:color w:val="000000"/>
          <w:szCs w:val="20"/>
          <w:lang w:eastAsia="ar-SA"/>
        </w:rPr>
        <w:t>.</w:t>
      </w:r>
      <w:r>
        <w:rPr>
          <w:b/>
          <w:bCs/>
          <w:color w:val="000000"/>
          <w:szCs w:val="20"/>
          <w:lang w:eastAsia="ar-SA"/>
        </w:rPr>
        <w:t xml:space="preserve">maijam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160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sešdesmit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01461F35" w14:textId="77777777" w:rsidR="008713C6" w:rsidRDefault="008713C6" w:rsidP="008713C6">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7A27E69A" w14:textId="77777777" w:rsidR="008713C6" w:rsidRPr="00A22BA3" w:rsidRDefault="008713C6" w:rsidP="008713C6">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7C6A48B" w14:textId="77777777" w:rsidR="008713C6" w:rsidRPr="00A22BA3" w:rsidRDefault="008713C6" w:rsidP="008713C6">
      <w:pPr>
        <w:numPr>
          <w:ilvl w:val="0"/>
          <w:numId w:val="1"/>
        </w:numPr>
        <w:suppressAutoHyphens/>
        <w:overflowPunct w:val="0"/>
        <w:autoSpaceDE w:val="0"/>
        <w:autoSpaceDN w:val="0"/>
        <w:adjustRightInd w:val="0"/>
        <w:ind w:right="-766"/>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4AA364F4" w14:textId="77777777" w:rsidR="008713C6" w:rsidRPr="00A22BA3" w:rsidRDefault="008713C6" w:rsidP="008713C6">
      <w:pPr>
        <w:numPr>
          <w:ilvl w:val="0"/>
          <w:numId w:val="1"/>
        </w:numPr>
        <w:suppressAutoHyphens/>
        <w:overflowPunct w:val="0"/>
        <w:autoSpaceDE w:val="0"/>
        <w:autoSpaceDN w:val="0"/>
        <w:adjustRightInd w:val="0"/>
        <w:ind w:right="-766"/>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7964B32A" w14:textId="77777777" w:rsidR="008713C6" w:rsidRPr="00A22BA3" w:rsidRDefault="008713C6" w:rsidP="008713C6">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Izsole var notikt, ja uz to ir reģistrējies vismaz viens izsoles dalībnieks.</w:t>
      </w:r>
    </w:p>
    <w:p w14:paraId="273A39E3" w14:textId="77777777" w:rsidR="008713C6" w:rsidRPr="00A22BA3" w:rsidRDefault="008713C6" w:rsidP="008713C6">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7FCB7507" w14:textId="77777777" w:rsidR="008713C6" w:rsidRPr="00A22BA3" w:rsidRDefault="008713C6" w:rsidP="008713C6">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 Izsoles gaita tiek protokolēta.</w:t>
      </w:r>
    </w:p>
    <w:p w14:paraId="3B559D42" w14:textId="77777777" w:rsidR="008713C6" w:rsidRPr="00A22BA3" w:rsidRDefault="008713C6" w:rsidP="008713C6">
      <w:pPr>
        <w:numPr>
          <w:ilvl w:val="0"/>
          <w:numId w:val="1"/>
        </w:numPr>
        <w:overflowPunct w:val="0"/>
        <w:autoSpaceDE w:val="0"/>
        <w:autoSpaceDN w:val="0"/>
        <w:adjustRightInd w:val="0"/>
        <w:ind w:right="-766"/>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E7EAF70" w14:textId="77777777" w:rsidR="008713C6" w:rsidRPr="00A22BA3" w:rsidRDefault="008713C6" w:rsidP="008713C6">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3D1D39F3" w14:textId="77777777" w:rsidR="008713C6" w:rsidRDefault="008713C6" w:rsidP="008713C6">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w:t>
      </w:r>
      <w:r w:rsidRPr="00A22BA3">
        <w:rPr>
          <w:rFonts w:eastAsia="Calibri"/>
          <w:lang w:eastAsia="en-US"/>
        </w:rPr>
        <w:lastRenderedPageBreak/>
        <w:t>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544E616" w14:textId="77777777" w:rsidR="008713C6" w:rsidRPr="006C5A54" w:rsidRDefault="008713C6" w:rsidP="008713C6">
      <w:pPr>
        <w:numPr>
          <w:ilvl w:val="0"/>
          <w:numId w:val="1"/>
        </w:numPr>
        <w:overflowPunct w:val="0"/>
        <w:autoSpaceDE w:val="0"/>
        <w:autoSpaceDN w:val="0"/>
        <w:adjustRightInd w:val="0"/>
        <w:ind w:right="-766"/>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5F3BA66B" w14:textId="77777777" w:rsidR="008713C6" w:rsidRPr="006C5A54" w:rsidRDefault="008713C6" w:rsidP="008713C6">
      <w:pPr>
        <w:numPr>
          <w:ilvl w:val="0"/>
          <w:numId w:val="1"/>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E6C3B34" w14:textId="77777777" w:rsidR="008713C6" w:rsidRPr="00A22BA3" w:rsidRDefault="008713C6" w:rsidP="008713C6">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6927F5AE" w14:textId="77777777" w:rsidR="008713C6" w:rsidRPr="00F75EA7" w:rsidRDefault="008713C6" w:rsidP="008713C6">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3D091277" w14:textId="77777777" w:rsidR="008713C6" w:rsidRPr="00A22BA3" w:rsidRDefault="008713C6" w:rsidP="008713C6">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0163B8B" w14:textId="77777777" w:rsidR="008713C6" w:rsidRPr="00A22BA3" w:rsidRDefault="008713C6" w:rsidP="008713C6">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0FF714F2" w14:textId="77777777" w:rsidR="008713C6" w:rsidRDefault="008713C6" w:rsidP="008713C6">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14EB4C67" w14:textId="77777777" w:rsidR="008713C6" w:rsidRDefault="008713C6" w:rsidP="008713C6">
      <w:pPr>
        <w:suppressAutoHyphens/>
        <w:overflowPunct w:val="0"/>
        <w:autoSpaceDE w:val="0"/>
        <w:autoSpaceDN w:val="0"/>
        <w:adjustRightInd w:val="0"/>
        <w:ind w:right="-766"/>
        <w:contextualSpacing/>
        <w:jc w:val="both"/>
        <w:textAlignment w:val="baseline"/>
        <w:rPr>
          <w:szCs w:val="20"/>
          <w:lang w:val="pt-BR" w:eastAsia="ar-SA"/>
        </w:rPr>
      </w:pPr>
    </w:p>
    <w:p w14:paraId="3A702554"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7B5"/>
    <w:multiLevelType w:val="hybridMultilevel"/>
    <w:tmpl w:val="FC200908"/>
    <w:lvl w:ilvl="0" w:tplc="1E6EAE6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672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C6"/>
    <w:rsid w:val="00073CDF"/>
    <w:rsid w:val="008713C6"/>
    <w:rsid w:val="009B0AAA"/>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C27B"/>
  <w15:chartTrackingRefBased/>
  <w15:docId w15:val="{2F4239FD-87F5-4A1F-BAFE-BB3B1CA4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C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87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3118</Words>
  <Characters>1778</Characters>
  <Application>Microsoft Office Word</Application>
  <DocSecurity>0</DocSecurity>
  <Lines>14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2025-04-02T18:55:00Z</dcterms:created>
  <dcterms:modified xsi:type="dcterms:W3CDTF">2025-04-02T18:58:00Z</dcterms:modified>
</cp:coreProperties>
</file>