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323D5" w14:textId="77777777" w:rsidR="00986216" w:rsidRPr="00A20D5D" w:rsidRDefault="00000000" w:rsidP="002D65A7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fldChar w:fldCharType="begin"/>
      </w:r>
      <w:r>
        <w:instrText>HYPERLINK "https://likumi.lv/wwwraksti/2016/029/95/P_18.01.2019.DOCX" \o "Atvērt citā formātā"</w:instrText>
      </w:r>
      <w:r>
        <w:fldChar w:fldCharType="separate"/>
      </w:r>
      <w:r w:rsidR="00986216" w:rsidRPr="00A20D5D">
        <w:rPr>
          <w:rFonts w:ascii="Times New Roman" w:eastAsia="Times New Roman" w:hAnsi="Times New Roman" w:cs="Times New Roman"/>
          <w:sz w:val="24"/>
          <w:szCs w:val="24"/>
          <w:lang w:eastAsia="lv-LV"/>
        </w:rPr>
        <w:t>Pielikums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fldChar w:fldCharType="end"/>
      </w:r>
      <w:r w:rsidR="00986216" w:rsidRPr="00A20D5D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bookmarkStart w:id="0" w:name="piel-679494"/>
      <w:bookmarkEnd w:id="0"/>
      <w:r w:rsidR="00986216" w:rsidRPr="00A20D5D">
        <w:rPr>
          <w:rFonts w:ascii="Times New Roman" w:eastAsia="Times New Roman" w:hAnsi="Times New Roman" w:cs="Times New Roman"/>
          <w:sz w:val="20"/>
          <w:szCs w:val="20"/>
          <w:lang w:eastAsia="lv-LV"/>
        </w:rPr>
        <w:t>Dobeles novada pašvaldības</w:t>
      </w:r>
    </w:p>
    <w:p w14:paraId="7C529A09" w14:textId="77777777" w:rsidR="00986216" w:rsidRPr="00A20D5D" w:rsidRDefault="00986216" w:rsidP="002D65A7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A20D5D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kapitāla daļu turētāja </w:t>
      </w:r>
      <w:r w:rsidR="001901C1" w:rsidRPr="00A20D5D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pārstāvja </w:t>
      </w:r>
      <w:proofErr w:type="spellStart"/>
      <w:r w:rsidR="001901C1" w:rsidRPr="00A20D5D">
        <w:rPr>
          <w:rFonts w:ascii="Times New Roman" w:eastAsia="Times New Roman" w:hAnsi="Times New Roman" w:cs="Times New Roman"/>
          <w:sz w:val="20"/>
          <w:szCs w:val="20"/>
          <w:lang w:eastAsia="lv-LV"/>
        </w:rPr>
        <w:t>A.Vilka</w:t>
      </w:r>
      <w:proofErr w:type="spellEnd"/>
    </w:p>
    <w:p w14:paraId="07EC4E8C" w14:textId="77777777" w:rsidR="002D65A7" w:rsidRPr="00A20D5D" w:rsidRDefault="002E0167" w:rsidP="002D65A7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2E0167">
        <w:rPr>
          <w:rFonts w:ascii="Times New Roman" w:eastAsia="Times New Roman" w:hAnsi="Times New Roman" w:cs="Times New Roman"/>
          <w:sz w:val="20"/>
          <w:szCs w:val="20"/>
          <w:lang w:eastAsia="lv-LV"/>
        </w:rPr>
        <w:t>23</w:t>
      </w:r>
      <w:r w:rsidR="002D65A7" w:rsidRPr="002E0167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.02.2024. lēmumam Nr. </w:t>
      </w:r>
      <w:r w:rsidRPr="002E0167">
        <w:rPr>
          <w:rFonts w:ascii="Times New Roman" w:eastAsia="Times New Roman" w:hAnsi="Times New Roman" w:cs="Times New Roman"/>
          <w:sz w:val="20"/>
          <w:szCs w:val="20"/>
          <w:lang w:eastAsia="lv-LV"/>
        </w:rPr>
        <w:t>1.41/2024/10</w:t>
      </w:r>
    </w:p>
    <w:p w14:paraId="0F8E0D54" w14:textId="77777777" w:rsidR="002D65A7" w:rsidRPr="00A20D5D" w:rsidRDefault="002D65A7" w:rsidP="002D65A7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20D5D">
        <w:rPr>
          <w:rFonts w:ascii="Times New Roman" w:eastAsia="Times New Roman" w:hAnsi="Times New Roman" w:cs="Times New Roman"/>
          <w:sz w:val="20"/>
          <w:szCs w:val="20"/>
          <w:lang w:eastAsia="ar-SA"/>
        </w:rPr>
        <w:t>“Par kapitālsabiedrību 2023. gada darbības</w:t>
      </w:r>
    </w:p>
    <w:p w14:paraId="57A21965" w14:textId="77777777" w:rsidR="002D65A7" w:rsidRPr="00A20D5D" w:rsidRDefault="002D65A7" w:rsidP="002D65A7">
      <w:pPr>
        <w:spacing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20D5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rezultātu pārskatu iesniegšanu”</w:t>
      </w:r>
    </w:p>
    <w:p w14:paraId="00B51548" w14:textId="77777777" w:rsidR="00986216" w:rsidRPr="00986216" w:rsidRDefault="00986216" w:rsidP="009862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DFE199D" w14:textId="029FAD25" w:rsidR="004953C9" w:rsidRPr="00A20D5D" w:rsidRDefault="00986216" w:rsidP="00A20D5D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bookmarkStart w:id="1" w:name="679495"/>
      <w:bookmarkStart w:id="2" w:name="n-679495"/>
      <w:bookmarkEnd w:id="1"/>
      <w:bookmarkEnd w:id="2"/>
      <w:r w:rsidRPr="00A20D5D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Informācija par SIA </w:t>
      </w:r>
      <w:r w:rsidR="009F7A67">
        <w:rPr>
          <w:rFonts w:ascii="Times New Roman" w:hAnsi="Times New Roman" w:cs="Times New Roman"/>
          <w:b/>
          <w:sz w:val="24"/>
          <w:szCs w:val="24"/>
          <w:lang w:eastAsia="lv-LV"/>
        </w:rPr>
        <w:t>Bēnes doktorāta</w:t>
      </w:r>
    </w:p>
    <w:p w14:paraId="58296730" w14:textId="77777777" w:rsidR="00986216" w:rsidRPr="00A20D5D" w:rsidRDefault="00986216" w:rsidP="00A20D5D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A20D5D">
        <w:rPr>
          <w:rFonts w:ascii="Times New Roman" w:hAnsi="Times New Roman" w:cs="Times New Roman"/>
          <w:b/>
          <w:sz w:val="24"/>
          <w:szCs w:val="24"/>
          <w:lang w:eastAsia="lv-LV"/>
        </w:rPr>
        <w:t>darbības rezultātiem 2023. gadā</w:t>
      </w:r>
    </w:p>
    <w:p w14:paraId="476888DC" w14:textId="77777777" w:rsidR="00986216" w:rsidRDefault="00986216" w:rsidP="00986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D96B3BE" w14:textId="77777777" w:rsidR="00986216" w:rsidRPr="00986216" w:rsidRDefault="00986216" w:rsidP="00986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838"/>
        <w:gridCol w:w="992"/>
        <w:gridCol w:w="876"/>
        <w:gridCol w:w="913"/>
        <w:gridCol w:w="925"/>
        <w:gridCol w:w="925"/>
        <w:gridCol w:w="2598"/>
      </w:tblGrid>
      <w:tr w:rsidR="00986216" w:rsidRPr="00986216" w14:paraId="42FF05AD" w14:textId="77777777" w:rsidTr="00894365">
        <w:tc>
          <w:tcPr>
            <w:tcW w:w="9067" w:type="dxa"/>
            <w:gridSpan w:val="7"/>
          </w:tcPr>
          <w:p w14:paraId="597A46E8" w14:textId="77777777" w:rsidR="00986216" w:rsidRPr="00986216" w:rsidRDefault="00986216" w:rsidP="00F464B0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F</w:t>
            </w:r>
            <w:r w:rsidRPr="0098621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inanšu mērķi</w:t>
            </w:r>
          </w:p>
        </w:tc>
      </w:tr>
      <w:tr w:rsidR="00986216" w:rsidRPr="00986216" w14:paraId="7A1877BF" w14:textId="77777777" w:rsidTr="00894365">
        <w:tc>
          <w:tcPr>
            <w:tcW w:w="1838" w:type="dxa"/>
            <w:vMerge w:val="restart"/>
            <w:vAlign w:val="center"/>
          </w:tcPr>
          <w:p w14:paraId="4C899E0E" w14:textId="77777777" w:rsidR="00986216" w:rsidRPr="00986216" w:rsidRDefault="00986216" w:rsidP="00A20D5D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86216">
              <w:rPr>
                <w:rFonts w:ascii="Times New Roman" w:eastAsia="Times New Roman" w:hAnsi="Times New Roman" w:cs="Times New Roman"/>
                <w:lang w:eastAsia="lv-LV"/>
              </w:rPr>
              <w:t>Mērķis</w:t>
            </w:r>
          </w:p>
        </w:tc>
        <w:tc>
          <w:tcPr>
            <w:tcW w:w="992" w:type="dxa"/>
            <w:vMerge w:val="restart"/>
            <w:vAlign w:val="center"/>
          </w:tcPr>
          <w:p w14:paraId="5681619E" w14:textId="77777777" w:rsidR="00986216" w:rsidRPr="00986216" w:rsidRDefault="00986216" w:rsidP="00F464B0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86216">
              <w:rPr>
                <w:rFonts w:ascii="Times New Roman" w:eastAsia="Times New Roman" w:hAnsi="Times New Roman" w:cs="Times New Roman"/>
                <w:lang w:eastAsia="lv-LV"/>
              </w:rPr>
              <w:t>2022. gada faktiskā izpilde</w:t>
            </w:r>
          </w:p>
        </w:tc>
        <w:tc>
          <w:tcPr>
            <w:tcW w:w="3639" w:type="dxa"/>
            <w:gridSpan w:val="4"/>
            <w:vAlign w:val="center"/>
          </w:tcPr>
          <w:p w14:paraId="3C8ABEC5" w14:textId="77777777" w:rsidR="00986216" w:rsidRPr="00986216" w:rsidRDefault="00986216" w:rsidP="00F464B0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86216">
              <w:rPr>
                <w:rFonts w:ascii="Times New Roman" w:eastAsia="Times New Roman" w:hAnsi="Times New Roman" w:cs="Times New Roman"/>
                <w:lang w:eastAsia="lv-LV"/>
              </w:rPr>
              <w:t xml:space="preserve">2023. gada </w:t>
            </w:r>
          </w:p>
        </w:tc>
        <w:tc>
          <w:tcPr>
            <w:tcW w:w="2598" w:type="dxa"/>
            <w:vMerge w:val="restart"/>
            <w:vAlign w:val="center"/>
          </w:tcPr>
          <w:p w14:paraId="31C55346" w14:textId="77777777" w:rsidR="00986216" w:rsidRPr="00986216" w:rsidRDefault="00986216" w:rsidP="00F464B0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86216">
              <w:rPr>
                <w:rFonts w:ascii="Times New Roman" w:eastAsia="Times New Roman" w:hAnsi="Times New Roman" w:cs="Times New Roman"/>
                <w:lang w:eastAsia="lv-LV"/>
              </w:rPr>
              <w:t>Valdes skaidrojums par novirzēm</w:t>
            </w:r>
          </w:p>
        </w:tc>
      </w:tr>
      <w:tr w:rsidR="00986216" w:rsidRPr="00986216" w14:paraId="567C0D90" w14:textId="77777777" w:rsidTr="00894365">
        <w:tc>
          <w:tcPr>
            <w:tcW w:w="1838" w:type="dxa"/>
            <w:vMerge/>
            <w:vAlign w:val="center"/>
          </w:tcPr>
          <w:p w14:paraId="17B6D9FE" w14:textId="77777777" w:rsidR="00986216" w:rsidRPr="00986216" w:rsidRDefault="00986216" w:rsidP="00F464B0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992" w:type="dxa"/>
            <w:vMerge/>
            <w:vAlign w:val="center"/>
          </w:tcPr>
          <w:p w14:paraId="5CD5A5A3" w14:textId="77777777" w:rsidR="00986216" w:rsidRPr="00986216" w:rsidRDefault="00986216" w:rsidP="00F464B0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876" w:type="dxa"/>
            <w:vAlign w:val="center"/>
          </w:tcPr>
          <w:p w14:paraId="0B40392E" w14:textId="77777777" w:rsidR="00986216" w:rsidRPr="00986216" w:rsidRDefault="00986216" w:rsidP="00F464B0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86216">
              <w:rPr>
                <w:rFonts w:ascii="Times New Roman" w:eastAsia="Times New Roman" w:hAnsi="Times New Roman" w:cs="Times New Roman"/>
                <w:lang w:eastAsia="lv-LV"/>
              </w:rPr>
              <w:t>plāns</w:t>
            </w:r>
          </w:p>
        </w:tc>
        <w:tc>
          <w:tcPr>
            <w:tcW w:w="913" w:type="dxa"/>
            <w:vAlign w:val="center"/>
          </w:tcPr>
          <w:p w14:paraId="39DE60D2" w14:textId="77777777" w:rsidR="00986216" w:rsidRPr="00986216" w:rsidRDefault="00986216" w:rsidP="00F464B0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86216">
              <w:rPr>
                <w:rFonts w:ascii="Times New Roman" w:eastAsia="Times New Roman" w:hAnsi="Times New Roman" w:cs="Times New Roman"/>
                <w:lang w:eastAsia="lv-LV"/>
              </w:rPr>
              <w:t>faktiskā izpilde</w:t>
            </w:r>
          </w:p>
        </w:tc>
        <w:tc>
          <w:tcPr>
            <w:tcW w:w="925" w:type="dxa"/>
            <w:vAlign w:val="center"/>
          </w:tcPr>
          <w:p w14:paraId="23351A3A" w14:textId="77777777" w:rsidR="00986216" w:rsidRPr="00986216" w:rsidRDefault="00986216" w:rsidP="00F464B0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86216">
              <w:rPr>
                <w:rFonts w:ascii="Times New Roman" w:eastAsia="Times New Roman" w:hAnsi="Times New Roman" w:cs="Times New Roman"/>
                <w:lang w:eastAsia="lv-LV"/>
              </w:rPr>
              <w:t>Novirze no plānotā</w:t>
            </w:r>
          </w:p>
        </w:tc>
        <w:tc>
          <w:tcPr>
            <w:tcW w:w="925" w:type="dxa"/>
            <w:vAlign w:val="center"/>
          </w:tcPr>
          <w:p w14:paraId="473BF6EA" w14:textId="77777777" w:rsidR="00986216" w:rsidRPr="00986216" w:rsidRDefault="00986216" w:rsidP="00F464B0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86216">
              <w:rPr>
                <w:rFonts w:ascii="Times New Roman" w:eastAsia="Times New Roman" w:hAnsi="Times New Roman" w:cs="Times New Roman"/>
                <w:lang w:eastAsia="lv-LV"/>
              </w:rPr>
              <w:t>Novirze no plānotā, %</w:t>
            </w:r>
          </w:p>
        </w:tc>
        <w:tc>
          <w:tcPr>
            <w:tcW w:w="2598" w:type="dxa"/>
            <w:vMerge/>
            <w:vAlign w:val="center"/>
          </w:tcPr>
          <w:p w14:paraId="627C52A9" w14:textId="77777777" w:rsidR="00986216" w:rsidRPr="00986216" w:rsidRDefault="00986216" w:rsidP="00F464B0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986216" w:rsidRPr="00986216" w14:paraId="354AED95" w14:textId="77777777" w:rsidTr="00894365">
        <w:tc>
          <w:tcPr>
            <w:tcW w:w="1838" w:type="dxa"/>
            <w:vAlign w:val="center"/>
          </w:tcPr>
          <w:p w14:paraId="6A141B34" w14:textId="3954571D" w:rsidR="00E129A0" w:rsidRDefault="00E129A0" w:rsidP="00986216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702123ED" w14:textId="6B1B720F" w:rsidR="00986216" w:rsidRPr="00986216" w:rsidRDefault="00986216" w:rsidP="00986216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986216">
              <w:rPr>
                <w:rFonts w:ascii="Times New Roman" w:eastAsia="Times New Roman" w:hAnsi="Times New Roman" w:cs="Times New Roman"/>
                <w:lang w:eastAsia="lv-LV"/>
              </w:rPr>
              <w:t>Nr. 1</w:t>
            </w:r>
            <w:r w:rsidR="00E129A0">
              <w:rPr>
                <w:rFonts w:ascii="Times New Roman" w:eastAsia="Times New Roman" w:hAnsi="Times New Roman" w:cs="Times New Roman"/>
                <w:lang w:eastAsia="lv-LV"/>
              </w:rPr>
              <w:t xml:space="preserve"> Neto apgrozījums</w:t>
            </w:r>
          </w:p>
        </w:tc>
        <w:tc>
          <w:tcPr>
            <w:tcW w:w="992" w:type="dxa"/>
          </w:tcPr>
          <w:p w14:paraId="426C3A67" w14:textId="5F7A2E99" w:rsidR="00986216" w:rsidRPr="00986216" w:rsidRDefault="0027187B" w:rsidP="00F464B0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171791</w:t>
            </w:r>
          </w:p>
        </w:tc>
        <w:tc>
          <w:tcPr>
            <w:tcW w:w="876" w:type="dxa"/>
          </w:tcPr>
          <w:p w14:paraId="4D094C45" w14:textId="2E1111E4" w:rsidR="00986216" w:rsidRPr="00986216" w:rsidRDefault="0027187B" w:rsidP="00F464B0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123180</w:t>
            </w:r>
          </w:p>
        </w:tc>
        <w:tc>
          <w:tcPr>
            <w:tcW w:w="913" w:type="dxa"/>
          </w:tcPr>
          <w:p w14:paraId="78BFDE83" w14:textId="613A33DD" w:rsidR="00986216" w:rsidRPr="00986216" w:rsidRDefault="0027187B" w:rsidP="00F464B0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130703</w:t>
            </w:r>
          </w:p>
        </w:tc>
        <w:tc>
          <w:tcPr>
            <w:tcW w:w="925" w:type="dxa"/>
          </w:tcPr>
          <w:p w14:paraId="73C8338F" w14:textId="2454DCCB" w:rsidR="00986216" w:rsidRPr="00986216" w:rsidRDefault="0027187B" w:rsidP="00F464B0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+7523</w:t>
            </w:r>
          </w:p>
        </w:tc>
        <w:tc>
          <w:tcPr>
            <w:tcW w:w="925" w:type="dxa"/>
          </w:tcPr>
          <w:p w14:paraId="626EEB69" w14:textId="7A41ED01" w:rsidR="00986216" w:rsidRPr="00986216" w:rsidRDefault="0027187B" w:rsidP="00F464B0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+6,1</w:t>
            </w:r>
          </w:p>
        </w:tc>
        <w:tc>
          <w:tcPr>
            <w:tcW w:w="2598" w:type="dxa"/>
          </w:tcPr>
          <w:p w14:paraId="5449FBBA" w14:textId="764E44EF" w:rsidR="00986216" w:rsidRPr="00986216" w:rsidRDefault="0027187B" w:rsidP="00F464B0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NVD septembrī iedalīja papildus līdzekļus pacientu apzināšanai, kas 3 gadus nav apmeklējuši ģimenes ārstu.</w:t>
            </w:r>
          </w:p>
        </w:tc>
      </w:tr>
      <w:tr w:rsidR="00986216" w:rsidRPr="00986216" w14:paraId="3ACA7683" w14:textId="77777777" w:rsidTr="00894365">
        <w:tc>
          <w:tcPr>
            <w:tcW w:w="1838" w:type="dxa"/>
            <w:vAlign w:val="center"/>
          </w:tcPr>
          <w:p w14:paraId="16892CE5" w14:textId="62468009" w:rsidR="00986216" w:rsidRPr="00986216" w:rsidRDefault="0027187B" w:rsidP="0027187B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Nr.2 Izmaksas</w:t>
            </w:r>
          </w:p>
        </w:tc>
        <w:tc>
          <w:tcPr>
            <w:tcW w:w="992" w:type="dxa"/>
          </w:tcPr>
          <w:p w14:paraId="278C16C6" w14:textId="0DAC0FC9" w:rsidR="00986216" w:rsidRPr="00986216" w:rsidRDefault="0027187B" w:rsidP="00F464B0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169916</w:t>
            </w:r>
          </w:p>
        </w:tc>
        <w:tc>
          <w:tcPr>
            <w:tcW w:w="876" w:type="dxa"/>
          </w:tcPr>
          <w:p w14:paraId="44526BA4" w14:textId="615B12C6" w:rsidR="00986216" w:rsidRPr="00986216" w:rsidRDefault="0027187B" w:rsidP="00F464B0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124025</w:t>
            </w:r>
          </w:p>
        </w:tc>
        <w:tc>
          <w:tcPr>
            <w:tcW w:w="913" w:type="dxa"/>
          </w:tcPr>
          <w:p w14:paraId="28F857E2" w14:textId="44D6CC54" w:rsidR="00986216" w:rsidRPr="00986216" w:rsidRDefault="0027187B" w:rsidP="00F464B0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128500</w:t>
            </w:r>
          </w:p>
        </w:tc>
        <w:tc>
          <w:tcPr>
            <w:tcW w:w="925" w:type="dxa"/>
          </w:tcPr>
          <w:p w14:paraId="5A5042C1" w14:textId="41C3CEED" w:rsidR="00986216" w:rsidRPr="00986216" w:rsidRDefault="0027187B" w:rsidP="00F464B0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+4475</w:t>
            </w:r>
          </w:p>
        </w:tc>
        <w:tc>
          <w:tcPr>
            <w:tcW w:w="925" w:type="dxa"/>
          </w:tcPr>
          <w:p w14:paraId="541DD528" w14:textId="1EF8F8C8" w:rsidR="00986216" w:rsidRPr="00986216" w:rsidRDefault="0027187B" w:rsidP="00F464B0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+3,6</w:t>
            </w:r>
          </w:p>
        </w:tc>
        <w:tc>
          <w:tcPr>
            <w:tcW w:w="2598" w:type="dxa"/>
          </w:tcPr>
          <w:p w14:paraId="178740B7" w14:textId="4953B851" w:rsidR="00986216" w:rsidRPr="00986216" w:rsidRDefault="0027187B" w:rsidP="00F464B0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No 1.04.ārsta palīgiem algas pieaugums un papildus iz</w:t>
            </w:r>
            <w:r w:rsidR="00E36622">
              <w:rPr>
                <w:rFonts w:ascii="Times New Roman" w:eastAsia="Times New Roman" w:hAnsi="Times New Roman" w:cs="Times New Roman"/>
                <w:lang w:eastAsia="lv-LV"/>
              </w:rPr>
              <w:t>maksas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pacientu apzināšanai.</w:t>
            </w:r>
          </w:p>
        </w:tc>
      </w:tr>
      <w:tr w:rsidR="0027187B" w:rsidRPr="00986216" w14:paraId="7ED1B37F" w14:textId="77777777" w:rsidTr="00894365">
        <w:tc>
          <w:tcPr>
            <w:tcW w:w="1838" w:type="dxa"/>
            <w:vAlign w:val="center"/>
          </w:tcPr>
          <w:p w14:paraId="6BB7F6A1" w14:textId="6527A3AB" w:rsidR="0027187B" w:rsidRPr="00986216" w:rsidRDefault="008E5068" w:rsidP="008E5068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Nr.3 Pārskata gada peļņa vai zaudējumi</w:t>
            </w:r>
          </w:p>
        </w:tc>
        <w:tc>
          <w:tcPr>
            <w:tcW w:w="992" w:type="dxa"/>
          </w:tcPr>
          <w:p w14:paraId="0B7D5EC7" w14:textId="3D35C5D8" w:rsidR="0027187B" w:rsidRPr="00986216" w:rsidRDefault="008E5068" w:rsidP="00F464B0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1875</w:t>
            </w:r>
          </w:p>
        </w:tc>
        <w:tc>
          <w:tcPr>
            <w:tcW w:w="876" w:type="dxa"/>
          </w:tcPr>
          <w:p w14:paraId="63A9A2C7" w14:textId="59C3AED0" w:rsidR="0027187B" w:rsidRPr="00986216" w:rsidRDefault="008E5068" w:rsidP="00F464B0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2000</w:t>
            </w:r>
          </w:p>
        </w:tc>
        <w:tc>
          <w:tcPr>
            <w:tcW w:w="913" w:type="dxa"/>
          </w:tcPr>
          <w:p w14:paraId="7DD685C1" w14:textId="2D63B9D5" w:rsidR="0027187B" w:rsidRPr="00986216" w:rsidRDefault="008E5068" w:rsidP="00F464B0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2203</w:t>
            </w:r>
          </w:p>
        </w:tc>
        <w:tc>
          <w:tcPr>
            <w:tcW w:w="925" w:type="dxa"/>
          </w:tcPr>
          <w:p w14:paraId="29D638AC" w14:textId="70D8E7BF" w:rsidR="0027187B" w:rsidRPr="00986216" w:rsidRDefault="008E5068" w:rsidP="00F464B0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203</w:t>
            </w:r>
          </w:p>
        </w:tc>
        <w:tc>
          <w:tcPr>
            <w:tcW w:w="925" w:type="dxa"/>
          </w:tcPr>
          <w:p w14:paraId="1A48E632" w14:textId="39E03531" w:rsidR="0027187B" w:rsidRPr="00986216" w:rsidRDefault="008E5068" w:rsidP="00F464B0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+1</w:t>
            </w:r>
          </w:p>
        </w:tc>
        <w:tc>
          <w:tcPr>
            <w:tcW w:w="2598" w:type="dxa"/>
          </w:tcPr>
          <w:p w14:paraId="79B3B91E" w14:textId="3DF02C3F" w:rsidR="0027187B" w:rsidRPr="00986216" w:rsidRDefault="008E5068" w:rsidP="00F464B0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Nav būtiska novirze</w:t>
            </w:r>
          </w:p>
        </w:tc>
      </w:tr>
    </w:tbl>
    <w:p w14:paraId="043144C1" w14:textId="77777777" w:rsidR="00986216" w:rsidRPr="00986216" w:rsidRDefault="00986216" w:rsidP="00986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1274653" w14:textId="77777777" w:rsidR="00986216" w:rsidRPr="00986216" w:rsidRDefault="00986216" w:rsidP="00986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86216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</w:p>
    <w:tbl>
      <w:tblPr>
        <w:tblStyle w:val="Reatabula"/>
        <w:tblpPr w:leftFromText="180" w:rightFromText="180" w:vertAnchor="text" w:tblpY="1"/>
        <w:tblOverlap w:val="never"/>
        <w:tblW w:w="9493" w:type="dxa"/>
        <w:tblLook w:val="04A0" w:firstRow="1" w:lastRow="0" w:firstColumn="1" w:lastColumn="0" w:noHBand="0" w:noVBand="1"/>
      </w:tblPr>
      <w:tblGrid>
        <w:gridCol w:w="3261"/>
        <w:gridCol w:w="913"/>
        <w:gridCol w:w="876"/>
        <w:gridCol w:w="913"/>
        <w:gridCol w:w="925"/>
        <w:gridCol w:w="1102"/>
        <w:gridCol w:w="1503"/>
      </w:tblGrid>
      <w:tr w:rsidR="00986216" w:rsidRPr="00986216" w14:paraId="486572DC" w14:textId="77777777" w:rsidTr="00A43868">
        <w:tc>
          <w:tcPr>
            <w:tcW w:w="9493" w:type="dxa"/>
            <w:gridSpan w:val="7"/>
          </w:tcPr>
          <w:p w14:paraId="0AC1D06C" w14:textId="77777777" w:rsidR="00986216" w:rsidRPr="00986216" w:rsidRDefault="00986216" w:rsidP="00542014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F</w:t>
            </w:r>
            <w:r w:rsidRPr="0098621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inanšu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rādītāji</w:t>
            </w:r>
          </w:p>
        </w:tc>
      </w:tr>
      <w:tr w:rsidR="00986216" w:rsidRPr="00986216" w14:paraId="104BBF34" w14:textId="77777777" w:rsidTr="00A43868">
        <w:tc>
          <w:tcPr>
            <w:tcW w:w="3521" w:type="dxa"/>
            <w:vMerge w:val="restart"/>
            <w:vAlign w:val="center"/>
          </w:tcPr>
          <w:p w14:paraId="76F44187" w14:textId="77777777" w:rsidR="00986216" w:rsidRPr="00986216" w:rsidRDefault="00986216" w:rsidP="00542014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86216">
              <w:rPr>
                <w:rFonts w:ascii="Times New Roman" w:eastAsia="Times New Roman" w:hAnsi="Times New Roman" w:cs="Times New Roman"/>
                <w:lang w:eastAsia="lv-LV"/>
              </w:rPr>
              <w:t>Mērķis</w:t>
            </w:r>
          </w:p>
        </w:tc>
        <w:tc>
          <w:tcPr>
            <w:tcW w:w="863" w:type="dxa"/>
            <w:vMerge w:val="restart"/>
            <w:vAlign w:val="center"/>
          </w:tcPr>
          <w:p w14:paraId="1382CF8E" w14:textId="77777777" w:rsidR="00986216" w:rsidRPr="00986216" w:rsidRDefault="00986216" w:rsidP="00542014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86216">
              <w:rPr>
                <w:rFonts w:ascii="Times New Roman" w:eastAsia="Times New Roman" w:hAnsi="Times New Roman" w:cs="Times New Roman"/>
                <w:lang w:eastAsia="lv-LV"/>
              </w:rPr>
              <w:t>2022. gada faktiskā izpilde</w:t>
            </w:r>
          </w:p>
        </w:tc>
        <w:tc>
          <w:tcPr>
            <w:tcW w:w="3606" w:type="dxa"/>
            <w:gridSpan w:val="4"/>
            <w:vAlign w:val="center"/>
          </w:tcPr>
          <w:p w14:paraId="1C6149A3" w14:textId="77777777" w:rsidR="00986216" w:rsidRPr="00986216" w:rsidRDefault="00986216" w:rsidP="00542014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86216">
              <w:rPr>
                <w:rFonts w:ascii="Times New Roman" w:eastAsia="Times New Roman" w:hAnsi="Times New Roman" w:cs="Times New Roman"/>
                <w:lang w:eastAsia="lv-LV"/>
              </w:rPr>
              <w:t xml:space="preserve">2023. gada </w:t>
            </w:r>
          </w:p>
        </w:tc>
        <w:tc>
          <w:tcPr>
            <w:tcW w:w="1503" w:type="dxa"/>
            <w:vMerge w:val="restart"/>
            <w:vAlign w:val="center"/>
          </w:tcPr>
          <w:p w14:paraId="5B52BDE4" w14:textId="77777777" w:rsidR="00986216" w:rsidRPr="00986216" w:rsidRDefault="00986216" w:rsidP="00542014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86216">
              <w:rPr>
                <w:rFonts w:ascii="Times New Roman" w:eastAsia="Times New Roman" w:hAnsi="Times New Roman" w:cs="Times New Roman"/>
                <w:lang w:eastAsia="lv-LV"/>
              </w:rPr>
              <w:t>Valdes skaidrojums par novirzēm</w:t>
            </w:r>
          </w:p>
        </w:tc>
      </w:tr>
      <w:tr w:rsidR="00A43868" w:rsidRPr="00986216" w14:paraId="69471A28" w14:textId="77777777" w:rsidTr="00A43868">
        <w:tc>
          <w:tcPr>
            <w:tcW w:w="3521" w:type="dxa"/>
            <w:vMerge/>
            <w:vAlign w:val="center"/>
          </w:tcPr>
          <w:p w14:paraId="44F2EC88" w14:textId="77777777" w:rsidR="00986216" w:rsidRPr="00986216" w:rsidRDefault="00986216" w:rsidP="00542014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863" w:type="dxa"/>
            <w:vMerge/>
            <w:vAlign w:val="center"/>
          </w:tcPr>
          <w:p w14:paraId="3668F18D" w14:textId="77777777" w:rsidR="00986216" w:rsidRPr="00986216" w:rsidRDefault="00986216" w:rsidP="00542014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829" w:type="dxa"/>
            <w:vAlign w:val="center"/>
          </w:tcPr>
          <w:p w14:paraId="73078762" w14:textId="77777777" w:rsidR="00986216" w:rsidRPr="00986216" w:rsidRDefault="00986216" w:rsidP="00542014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86216">
              <w:rPr>
                <w:rFonts w:ascii="Times New Roman" w:eastAsia="Times New Roman" w:hAnsi="Times New Roman" w:cs="Times New Roman"/>
                <w:lang w:eastAsia="lv-LV"/>
              </w:rPr>
              <w:t>plāns</w:t>
            </w:r>
          </w:p>
        </w:tc>
        <w:tc>
          <w:tcPr>
            <w:tcW w:w="863" w:type="dxa"/>
            <w:vAlign w:val="center"/>
          </w:tcPr>
          <w:p w14:paraId="02E1C0A7" w14:textId="77777777" w:rsidR="00986216" w:rsidRPr="00986216" w:rsidRDefault="00986216" w:rsidP="00542014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86216">
              <w:rPr>
                <w:rFonts w:ascii="Times New Roman" w:eastAsia="Times New Roman" w:hAnsi="Times New Roman" w:cs="Times New Roman"/>
                <w:lang w:eastAsia="lv-LV"/>
              </w:rPr>
              <w:t>faktiskā izpilde</w:t>
            </w:r>
          </w:p>
        </w:tc>
        <w:tc>
          <w:tcPr>
            <w:tcW w:w="875" w:type="dxa"/>
            <w:vAlign w:val="center"/>
          </w:tcPr>
          <w:p w14:paraId="29A8787F" w14:textId="77777777" w:rsidR="00986216" w:rsidRPr="00986216" w:rsidRDefault="00986216" w:rsidP="00542014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86216">
              <w:rPr>
                <w:rFonts w:ascii="Times New Roman" w:eastAsia="Times New Roman" w:hAnsi="Times New Roman" w:cs="Times New Roman"/>
                <w:lang w:eastAsia="lv-LV"/>
              </w:rPr>
              <w:t>Novirze no plānotā</w:t>
            </w:r>
          </w:p>
        </w:tc>
        <w:tc>
          <w:tcPr>
            <w:tcW w:w="1039" w:type="dxa"/>
            <w:vAlign w:val="center"/>
          </w:tcPr>
          <w:p w14:paraId="3F2371F6" w14:textId="2AE34E12" w:rsidR="00986216" w:rsidRPr="00986216" w:rsidRDefault="00986216" w:rsidP="00542014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86216">
              <w:rPr>
                <w:rFonts w:ascii="Times New Roman" w:eastAsia="Times New Roman" w:hAnsi="Times New Roman" w:cs="Times New Roman"/>
                <w:lang w:eastAsia="lv-LV"/>
              </w:rPr>
              <w:t>Novirze no plānotā</w:t>
            </w:r>
            <w:r w:rsidR="0027187B">
              <w:rPr>
                <w:rFonts w:ascii="Times New Roman" w:eastAsia="Times New Roman" w:hAnsi="Times New Roman" w:cs="Times New Roman"/>
                <w:lang w:eastAsia="lv-LV"/>
              </w:rPr>
              <w:t>,</w:t>
            </w:r>
            <w:r w:rsidRPr="00986216">
              <w:rPr>
                <w:rFonts w:ascii="Times New Roman" w:eastAsia="Times New Roman" w:hAnsi="Times New Roman" w:cs="Times New Roman"/>
                <w:lang w:eastAsia="lv-LV"/>
              </w:rPr>
              <w:t>%</w:t>
            </w:r>
          </w:p>
        </w:tc>
        <w:tc>
          <w:tcPr>
            <w:tcW w:w="1503" w:type="dxa"/>
            <w:vMerge/>
            <w:vAlign w:val="center"/>
          </w:tcPr>
          <w:p w14:paraId="4DD7C255" w14:textId="77777777" w:rsidR="00986216" w:rsidRPr="00986216" w:rsidRDefault="00986216" w:rsidP="00542014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A43868" w:rsidRPr="00986216" w14:paraId="32D4F2E0" w14:textId="77777777" w:rsidTr="00A43868">
        <w:tc>
          <w:tcPr>
            <w:tcW w:w="3521" w:type="dxa"/>
            <w:vAlign w:val="center"/>
          </w:tcPr>
          <w:p w14:paraId="67C36438" w14:textId="1D86456F" w:rsidR="00986216" w:rsidRPr="00542014" w:rsidRDefault="00986216" w:rsidP="0054201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542014">
              <w:rPr>
                <w:rFonts w:ascii="Times New Roman" w:hAnsi="Times New Roman" w:cs="Times New Roman"/>
                <w:b/>
                <w:bCs/>
              </w:rPr>
              <w:t xml:space="preserve">Neto apgrozījums </w:t>
            </w:r>
            <w:r w:rsidR="00542014" w:rsidRPr="00542014">
              <w:rPr>
                <w:rFonts w:ascii="Times New Roman" w:hAnsi="Times New Roman" w:cs="Times New Roman"/>
                <w:b/>
                <w:bCs/>
              </w:rPr>
              <w:t>kopā</w:t>
            </w:r>
            <w:r w:rsidRPr="0054201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42014">
              <w:rPr>
                <w:rFonts w:ascii="Times New Roman" w:hAnsi="Times New Roman" w:cs="Times New Roman"/>
                <w:b/>
                <w:bCs/>
                <w:i/>
              </w:rPr>
              <w:t>euro</w:t>
            </w:r>
            <w:proofErr w:type="spellEnd"/>
          </w:p>
        </w:tc>
        <w:tc>
          <w:tcPr>
            <w:tcW w:w="863" w:type="dxa"/>
          </w:tcPr>
          <w:p w14:paraId="4DE8A391" w14:textId="698B2682" w:rsidR="00986216" w:rsidRPr="00542014" w:rsidRDefault="00542014" w:rsidP="00542014">
            <w:pP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171791</w:t>
            </w:r>
          </w:p>
        </w:tc>
        <w:tc>
          <w:tcPr>
            <w:tcW w:w="829" w:type="dxa"/>
          </w:tcPr>
          <w:p w14:paraId="70D7C8BD" w14:textId="27DC0B1A" w:rsidR="00986216" w:rsidRPr="00542014" w:rsidRDefault="00993F8E" w:rsidP="00542014">
            <w:pP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123180</w:t>
            </w:r>
          </w:p>
        </w:tc>
        <w:tc>
          <w:tcPr>
            <w:tcW w:w="863" w:type="dxa"/>
          </w:tcPr>
          <w:p w14:paraId="213CFD6A" w14:textId="4EE7B75C" w:rsidR="00986216" w:rsidRPr="00542014" w:rsidRDefault="00542014" w:rsidP="00542014">
            <w:pP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130703</w:t>
            </w:r>
          </w:p>
        </w:tc>
        <w:tc>
          <w:tcPr>
            <w:tcW w:w="875" w:type="dxa"/>
          </w:tcPr>
          <w:p w14:paraId="3BD27DA3" w14:textId="788D254B" w:rsidR="00986216" w:rsidRPr="00542014" w:rsidRDefault="001329E6" w:rsidP="00542014">
            <w:pP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+</w:t>
            </w:r>
            <w:r w:rsidR="00993F8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7523</w:t>
            </w:r>
          </w:p>
        </w:tc>
        <w:tc>
          <w:tcPr>
            <w:tcW w:w="1039" w:type="dxa"/>
          </w:tcPr>
          <w:p w14:paraId="152A9D8D" w14:textId="3B1C006F" w:rsidR="00986216" w:rsidRPr="00542014" w:rsidRDefault="00993F8E" w:rsidP="00542014">
            <w:pP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+6,1</w:t>
            </w:r>
          </w:p>
        </w:tc>
        <w:tc>
          <w:tcPr>
            <w:tcW w:w="1503" w:type="dxa"/>
          </w:tcPr>
          <w:p w14:paraId="1EEADAB4" w14:textId="77777777" w:rsidR="00986216" w:rsidRPr="00986216" w:rsidRDefault="00986216" w:rsidP="00542014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A43868" w:rsidRPr="00986216" w14:paraId="4807EA10" w14:textId="77777777" w:rsidTr="00A43868">
        <w:tc>
          <w:tcPr>
            <w:tcW w:w="3521" w:type="dxa"/>
            <w:vAlign w:val="center"/>
          </w:tcPr>
          <w:p w14:paraId="2E7639CB" w14:textId="46F5E34F" w:rsidR="00986216" w:rsidRPr="00986216" w:rsidRDefault="00542014" w:rsidP="00542014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Valsts finansējums</w:t>
            </w:r>
            <w:r w:rsidR="008E5068">
              <w:rPr>
                <w:rFonts w:ascii="Times New Roman" w:eastAsia="Times New Roman" w:hAnsi="Times New Roman" w:cs="Times New Roman"/>
                <w:lang w:eastAsia="lv-LV"/>
              </w:rPr>
              <w:t xml:space="preserve"> no NVD</w:t>
            </w:r>
          </w:p>
        </w:tc>
        <w:tc>
          <w:tcPr>
            <w:tcW w:w="863" w:type="dxa"/>
          </w:tcPr>
          <w:p w14:paraId="0893DFFD" w14:textId="61CADB42" w:rsidR="00986216" w:rsidRPr="00986216" w:rsidRDefault="00542014" w:rsidP="00542014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159861</w:t>
            </w:r>
          </w:p>
        </w:tc>
        <w:tc>
          <w:tcPr>
            <w:tcW w:w="829" w:type="dxa"/>
          </w:tcPr>
          <w:p w14:paraId="2C04AC14" w14:textId="611E8556" w:rsidR="00986216" w:rsidRPr="00986216" w:rsidRDefault="00993F8E" w:rsidP="00542014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111240</w:t>
            </w:r>
          </w:p>
        </w:tc>
        <w:tc>
          <w:tcPr>
            <w:tcW w:w="863" w:type="dxa"/>
          </w:tcPr>
          <w:p w14:paraId="4A4A3376" w14:textId="7D6D51A0" w:rsidR="00986216" w:rsidRPr="00986216" w:rsidRDefault="00542014" w:rsidP="00542014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117804</w:t>
            </w:r>
          </w:p>
        </w:tc>
        <w:tc>
          <w:tcPr>
            <w:tcW w:w="875" w:type="dxa"/>
          </w:tcPr>
          <w:p w14:paraId="1BA5188D" w14:textId="59DCA3F5" w:rsidR="00986216" w:rsidRPr="00986216" w:rsidRDefault="001329E6" w:rsidP="00542014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+6564</w:t>
            </w:r>
          </w:p>
        </w:tc>
        <w:tc>
          <w:tcPr>
            <w:tcW w:w="1039" w:type="dxa"/>
          </w:tcPr>
          <w:p w14:paraId="27AB952B" w14:textId="039EC46C" w:rsidR="00986216" w:rsidRPr="00986216" w:rsidRDefault="001329E6" w:rsidP="00542014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+5,9</w:t>
            </w:r>
          </w:p>
        </w:tc>
        <w:tc>
          <w:tcPr>
            <w:tcW w:w="1503" w:type="dxa"/>
          </w:tcPr>
          <w:p w14:paraId="7C865215" w14:textId="3B0A353D" w:rsidR="00986216" w:rsidRPr="00986216" w:rsidRDefault="008A2946" w:rsidP="008A2946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NVD septembrī iedalīja papildus līdzekļus pacientu</w:t>
            </w:r>
            <w:r w:rsidR="00787882">
              <w:rPr>
                <w:rFonts w:ascii="Times New Roman" w:eastAsia="Times New Roman" w:hAnsi="Times New Roman" w:cs="Times New Roman"/>
                <w:lang w:eastAsia="lv-LV"/>
              </w:rPr>
              <w:t xml:space="preserve"> apzināšanai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,</w:t>
            </w:r>
            <w:r w:rsidR="00787882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kas 3 gadus nav apmeklējuši ģ</w:t>
            </w:r>
            <w:r w:rsidR="00787882">
              <w:rPr>
                <w:rFonts w:ascii="Times New Roman" w:eastAsia="Times New Roman" w:hAnsi="Times New Roman" w:cs="Times New Roman"/>
                <w:lang w:eastAsia="lv-LV"/>
              </w:rPr>
              <w:t xml:space="preserve">imenes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ārstu</w:t>
            </w:r>
            <w:r w:rsidR="00787882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</w:p>
        </w:tc>
      </w:tr>
      <w:tr w:rsidR="00A43868" w:rsidRPr="00986216" w14:paraId="5C3836ED" w14:textId="77777777" w:rsidTr="00A43868">
        <w:tc>
          <w:tcPr>
            <w:tcW w:w="3521" w:type="dxa"/>
            <w:vAlign w:val="center"/>
          </w:tcPr>
          <w:p w14:paraId="0A909025" w14:textId="590E2BA8" w:rsidR="00542014" w:rsidRDefault="00542014" w:rsidP="00542014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Pacientu iemaksas</w:t>
            </w:r>
          </w:p>
        </w:tc>
        <w:tc>
          <w:tcPr>
            <w:tcW w:w="863" w:type="dxa"/>
          </w:tcPr>
          <w:p w14:paraId="66F693A3" w14:textId="117458CB" w:rsidR="00542014" w:rsidRPr="00986216" w:rsidRDefault="00542014" w:rsidP="00542014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2022</w:t>
            </w:r>
          </w:p>
        </w:tc>
        <w:tc>
          <w:tcPr>
            <w:tcW w:w="829" w:type="dxa"/>
          </w:tcPr>
          <w:p w14:paraId="1C8AB6E6" w14:textId="7DFCCC5F" w:rsidR="00542014" w:rsidRPr="00986216" w:rsidRDefault="00993F8E" w:rsidP="00542014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2030</w:t>
            </w:r>
          </w:p>
        </w:tc>
        <w:tc>
          <w:tcPr>
            <w:tcW w:w="863" w:type="dxa"/>
          </w:tcPr>
          <w:p w14:paraId="10975180" w14:textId="497B3840" w:rsidR="00542014" w:rsidRPr="00986216" w:rsidRDefault="00542014" w:rsidP="00542014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1919</w:t>
            </w:r>
          </w:p>
        </w:tc>
        <w:tc>
          <w:tcPr>
            <w:tcW w:w="875" w:type="dxa"/>
          </w:tcPr>
          <w:p w14:paraId="181E5AF8" w14:textId="075CBB22" w:rsidR="00542014" w:rsidRPr="00986216" w:rsidRDefault="001329E6" w:rsidP="00542014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-111</w:t>
            </w:r>
          </w:p>
        </w:tc>
        <w:tc>
          <w:tcPr>
            <w:tcW w:w="1039" w:type="dxa"/>
          </w:tcPr>
          <w:p w14:paraId="5F9489CC" w14:textId="444B51A5" w:rsidR="00542014" w:rsidRPr="00986216" w:rsidRDefault="001329E6" w:rsidP="00542014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-5,47</w:t>
            </w:r>
          </w:p>
        </w:tc>
        <w:tc>
          <w:tcPr>
            <w:tcW w:w="1503" w:type="dxa"/>
          </w:tcPr>
          <w:p w14:paraId="60774FAB" w14:textId="0C66E404" w:rsidR="00542014" w:rsidRPr="00986216" w:rsidRDefault="00787882" w:rsidP="00542014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2023.gadā tika atbrīvoti no pacienta iemaksām</w:t>
            </w:r>
            <w:r w:rsidR="00E129A0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2.grupas invalīdi</w:t>
            </w:r>
          </w:p>
        </w:tc>
      </w:tr>
      <w:tr w:rsidR="00A43868" w:rsidRPr="00986216" w14:paraId="618482F1" w14:textId="77777777" w:rsidTr="00A43868">
        <w:tc>
          <w:tcPr>
            <w:tcW w:w="3521" w:type="dxa"/>
            <w:vAlign w:val="center"/>
          </w:tcPr>
          <w:p w14:paraId="5CB25FF8" w14:textId="77777777" w:rsidR="00542014" w:rsidRDefault="00542014" w:rsidP="00542014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Medicīnas maksas pakalpojumi</w:t>
            </w:r>
          </w:p>
          <w:p w14:paraId="3CC011D0" w14:textId="5328BFA2" w:rsidR="00542014" w:rsidRDefault="00542014" w:rsidP="00542014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863" w:type="dxa"/>
          </w:tcPr>
          <w:p w14:paraId="2F782238" w14:textId="6D71967A" w:rsidR="00542014" w:rsidRPr="00986216" w:rsidRDefault="00542014" w:rsidP="00542014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5763</w:t>
            </w:r>
          </w:p>
        </w:tc>
        <w:tc>
          <w:tcPr>
            <w:tcW w:w="829" w:type="dxa"/>
          </w:tcPr>
          <w:p w14:paraId="2EC58707" w14:textId="622E85A0" w:rsidR="00542014" w:rsidRPr="00986216" w:rsidRDefault="00993F8E" w:rsidP="00542014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5765</w:t>
            </w:r>
          </w:p>
        </w:tc>
        <w:tc>
          <w:tcPr>
            <w:tcW w:w="863" w:type="dxa"/>
          </w:tcPr>
          <w:p w14:paraId="6AD9D25C" w14:textId="246A71A4" w:rsidR="00542014" w:rsidRPr="00986216" w:rsidRDefault="00542014" w:rsidP="00542014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6549</w:t>
            </w:r>
          </w:p>
        </w:tc>
        <w:tc>
          <w:tcPr>
            <w:tcW w:w="875" w:type="dxa"/>
          </w:tcPr>
          <w:p w14:paraId="416803D1" w14:textId="008AD5A2" w:rsidR="00542014" w:rsidRPr="00986216" w:rsidRDefault="001329E6" w:rsidP="00542014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+784</w:t>
            </w:r>
          </w:p>
        </w:tc>
        <w:tc>
          <w:tcPr>
            <w:tcW w:w="1039" w:type="dxa"/>
          </w:tcPr>
          <w:p w14:paraId="4E672E16" w14:textId="5A3B671F" w:rsidR="00542014" w:rsidRPr="00986216" w:rsidRDefault="001329E6" w:rsidP="00542014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+</w:t>
            </w:r>
            <w:r w:rsidR="008A2946">
              <w:rPr>
                <w:rFonts w:ascii="Times New Roman" w:eastAsia="Times New Roman" w:hAnsi="Times New Roman" w:cs="Times New Roman"/>
                <w:lang w:eastAsia="lv-LV"/>
              </w:rPr>
              <w:t>13,6</w:t>
            </w:r>
          </w:p>
        </w:tc>
        <w:tc>
          <w:tcPr>
            <w:tcW w:w="1503" w:type="dxa"/>
          </w:tcPr>
          <w:p w14:paraId="675FCE91" w14:textId="75510FCF" w:rsidR="00542014" w:rsidRPr="00986216" w:rsidRDefault="00787882" w:rsidP="00542014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Vairāk maksas analīzes </w:t>
            </w:r>
            <w:r w:rsidR="00CB2B24">
              <w:rPr>
                <w:rFonts w:ascii="Times New Roman" w:eastAsia="Times New Roman" w:hAnsi="Times New Roman" w:cs="Times New Roman"/>
                <w:lang w:eastAsia="lv-LV"/>
              </w:rPr>
              <w:lastRenderedPageBreak/>
              <w:t>veiktas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,</w:t>
            </w:r>
            <w:r w:rsidR="00CB2B24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kā 2022.g.</w:t>
            </w:r>
          </w:p>
        </w:tc>
      </w:tr>
      <w:tr w:rsidR="00A43868" w:rsidRPr="00986216" w14:paraId="75AADA21" w14:textId="77777777" w:rsidTr="00A43868">
        <w:tc>
          <w:tcPr>
            <w:tcW w:w="3521" w:type="dxa"/>
            <w:vAlign w:val="center"/>
          </w:tcPr>
          <w:p w14:paraId="473801A8" w14:textId="202B349A" w:rsidR="00542014" w:rsidRDefault="00542014" w:rsidP="00542014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lastRenderedPageBreak/>
              <w:t>Pacientu iema</w:t>
            </w:r>
            <w:r w:rsidR="00CB2B24">
              <w:rPr>
                <w:rFonts w:ascii="Times New Roman" w:eastAsia="Times New Roman" w:hAnsi="Times New Roman" w:cs="Times New Roman"/>
                <w:lang w:eastAsia="lv-LV"/>
              </w:rPr>
              <w:t xml:space="preserve">ksas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no apdrošin</w:t>
            </w:r>
            <w:r w:rsidR="00CB2B24">
              <w:rPr>
                <w:rFonts w:ascii="Times New Roman" w:eastAsia="Times New Roman" w:hAnsi="Times New Roman" w:cs="Times New Roman"/>
                <w:lang w:eastAsia="lv-LV"/>
              </w:rPr>
              <w:t xml:space="preserve">āšanas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sabiedrībām</w:t>
            </w:r>
          </w:p>
        </w:tc>
        <w:tc>
          <w:tcPr>
            <w:tcW w:w="863" w:type="dxa"/>
          </w:tcPr>
          <w:p w14:paraId="4AA454E2" w14:textId="4D601566" w:rsidR="00542014" w:rsidRPr="00986216" w:rsidRDefault="00542014" w:rsidP="00542014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1290</w:t>
            </w:r>
          </w:p>
        </w:tc>
        <w:tc>
          <w:tcPr>
            <w:tcW w:w="829" w:type="dxa"/>
          </w:tcPr>
          <w:p w14:paraId="1D594D8D" w14:textId="7CC2C077" w:rsidR="00542014" w:rsidRPr="00986216" w:rsidRDefault="00993F8E" w:rsidP="00542014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1290</w:t>
            </w:r>
          </w:p>
        </w:tc>
        <w:tc>
          <w:tcPr>
            <w:tcW w:w="863" w:type="dxa"/>
          </w:tcPr>
          <w:p w14:paraId="0600DFD6" w14:textId="275D4B28" w:rsidR="00542014" w:rsidRPr="00986216" w:rsidRDefault="00542014" w:rsidP="00542014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1413</w:t>
            </w:r>
          </w:p>
        </w:tc>
        <w:tc>
          <w:tcPr>
            <w:tcW w:w="875" w:type="dxa"/>
          </w:tcPr>
          <w:p w14:paraId="6A97BE66" w14:textId="2A34912B" w:rsidR="00542014" w:rsidRPr="00986216" w:rsidRDefault="008A2946" w:rsidP="00542014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+123</w:t>
            </w:r>
          </w:p>
        </w:tc>
        <w:tc>
          <w:tcPr>
            <w:tcW w:w="1039" w:type="dxa"/>
          </w:tcPr>
          <w:p w14:paraId="5A704EF5" w14:textId="6C9DE662" w:rsidR="00542014" w:rsidRPr="00986216" w:rsidRDefault="008A2946" w:rsidP="00542014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+9,5</w:t>
            </w:r>
          </w:p>
        </w:tc>
        <w:tc>
          <w:tcPr>
            <w:tcW w:w="1503" w:type="dxa"/>
          </w:tcPr>
          <w:p w14:paraId="2191E92B" w14:textId="654FBA7E" w:rsidR="00542014" w:rsidRPr="00986216" w:rsidRDefault="00787882" w:rsidP="00542014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Vairāk </w:t>
            </w:r>
            <w:r w:rsidR="00CB2B24">
              <w:rPr>
                <w:rFonts w:ascii="Times New Roman" w:eastAsia="Times New Roman" w:hAnsi="Times New Roman" w:cs="Times New Roman"/>
                <w:lang w:eastAsia="lv-LV"/>
              </w:rPr>
              <w:t xml:space="preserve">pacientu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apmeklējumu ar veselības polisēm</w:t>
            </w:r>
          </w:p>
        </w:tc>
      </w:tr>
      <w:tr w:rsidR="00A43868" w:rsidRPr="00986216" w14:paraId="6122CB2F" w14:textId="77777777" w:rsidTr="00A43868">
        <w:tc>
          <w:tcPr>
            <w:tcW w:w="3521" w:type="dxa"/>
            <w:vAlign w:val="center"/>
          </w:tcPr>
          <w:p w14:paraId="3BD296EC" w14:textId="23FBB112" w:rsidR="00542014" w:rsidRDefault="00542014" w:rsidP="00542014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Dobeles novada pašvaldības finans</w:t>
            </w:r>
            <w:r w:rsidR="00CB2B24">
              <w:rPr>
                <w:rFonts w:ascii="Times New Roman" w:eastAsia="Times New Roman" w:hAnsi="Times New Roman" w:cs="Times New Roman"/>
                <w:lang w:eastAsia="lv-LV"/>
              </w:rPr>
              <w:t>ējums</w:t>
            </w:r>
          </w:p>
        </w:tc>
        <w:tc>
          <w:tcPr>
            <w:tcW w:w="863" w:type="dxa"/>
          </w:tcPr>
          <w:p w14:paraId="18F4C1DD" w14:textId="01A56A36" w:rsidR="00542014" w:rsidRPr="00986216" w:rsidRDefault="00542014" w:rsidP="00542014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2855</w:t>
            </w:r>
          </w:p>
        </w:tc>
        <w:tc>
          <w:tcPr>
            <w:tcW w:w="829" w:type="dxa"/>
          </w:tcPr>
          <w:p w14:paraId="00BE04DE" w14:textId="7F01F5F7" w:rsidR="00542014" w:rsidRPr="00986216" w:rsidRDefault="00993F8E" w:rsidP="00542014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2855</w:t>
            </w:r>
          </w:p>
        </w:tc>
        <w:tc>
          <w:tcPr>
            <w:tcW w:w="863" w:type="dxa"/>
          </w:tcPr>
          <w:p w14:paraId="14CD7A5D" w14:textId="7DB7799E" w:rsidR="00542014" w:rsidRPr="00986216" w:rsidRDefault="00542014" w:rsidP="00542014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2983</w:t>
            </w:r>
          </w:p>
        </w:tc>
        <w:tc>
          <w:tcPr>
            <w:tcW w:w="875" w:type="dxa"/>
          </w:tcPr>
          <w:p w14:paraId="29DC00BA" w14:textId="30F23411" w:rsidR="00542014" w:rsidRPr="00986216" w:rsidRDefault="008A2946" w:rsidP="00542014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+128</w:t>
            </w:r>
          </w:p>
        </w:tc>
        <w:tc>
          <w:tcPr>
            <w:tcW w:w="1039" w:type="dxa"/>
          </w:tcPr>
          <w:p w14:paraId="7814B4B9" w14:textId="7C0B9C41" w:rsidR="00542014" w:rsidRPr="00986216" w:rsidRDefault="008A2946" w:rsidP="00542014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+4,5</w:t>
            </w:r>
          </w:p>
        </w:tc>
        <w:tc>
          <w:tcPr>
            <w:tcW w:w="1503" w:type="dxa"/>
          </w:tcPr>
          <w:p w14:paraId="4D661AE6" w14:textId="6F430BBC" w:rsidR="00542014" w:rsidRPr="00986216" w:rsidRDefault="00787882" w:rsidP="00542014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Finansējums atkarīgs no skolēnu skaita Penkules pamatskolā</w:t>
            </w:r>
          </w:p>
        </w:tc>
      </w:tr>
      <w:tr w:rsidR="00A43868" w:rsidRPr="00986216" w14:paraId="0C1BD43D" w14:textId="77777777" w:rsidTr="00A43868">
        <w:tc>
          <w:tcPr>
            <w:tcW w:w="3521" w:type="dxa"/>
            <w:vAlign w:val="center"/>
          </w:tcPr>
          <w:p w14:paraId="0783A6A0" w14:textId="6B7196E6" w:rsidR="00542014" w:rsidRDefault="00542014" w:rsidP="00542014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Bezatlīdz</w:t>
            </w:r>
            <w:r w:rsidR="00BC66E9">
              <w:rPr>
                <w:rFonts w:ascii="Times New Roman" w:eastAsia="Times New Roman" w:hAnsi="Times New Roman" w:cs="Times New Roman"/>
                <w:lang w:eastAsia="lv-LV"/>
              </w:rPr>
              <w:t xml:space="preserve">ības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saņemts</w:t>
            </w:r>
          </w:p>
        </w:tc>
        <w:tc>
          <w:tcPr>
            <w:tcW w:w="863" w:type="dxa"/>
          </w:tcPr>
          <w:p w14:paraId="609C0830" w14:textId="11A94260" w:rsidR="00542014" w:rsidRDefault="00787882" w:rsidP="00542014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0</w:t>
            </w:r>
          </w:p>
        </w:tc>
        <w:tc>
          <w:tcPr>
            <w:tcW w:w="829" w:type="dxa"/>
          </w:tcPr>
          <w:p w14:paraId="5CF2FEE4" w14:textId="1250146F" w:rsidR="00542014" w:rsidRPr="00986216" w:rsidRDefault="00542014" w:rsidP="00542014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0</w:t>
            </w:r>
          </w:p>
        </w:tc>
        <w:tc>
          <w:tcPr>
            <w:tcW w:w="863" w:type="dxa"/>
          </w:tcPr>
          <w:p w14:paraId="7129486B" w14:textId="0172205C" w:rsidR="00542014" w:rsidRDefault="00542014" w:rsidP="00542014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35</w:t>
            </w:r>
          </w:p>
        </w:tc>
        <w:tc>
          <w:tcPr>
            <w:tcW w:w="875" w:type="dxa"/>
          </w:tcPr>
          <w:p w14:paraId="57CC17AC" w14:textId="6EED5153" w:rsidR="00542014" w:rsidRPr="00986216" w:rsidRDefault="00542014" w:rsidP="00542014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+35</w:t>
            </w:r>
          </w:p>
        </w:tc>
        <w:tc>
          <w:tcPr>
            <w:tcW w:w="1039" w:type="dxa"/>
          </w:tcPr>
          <w:p w14:paraId="4BB5036A" w14:textId="64767461" w:rsidR="00542014" w:rsidRPr="00986216" w:rsidRDefault="008A2946" w:rsidP="00542014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0</w:t>
            </w:r>
          </w:p>
        </w:tc>
        <w:tc>
          <w:tcPr>
            <w:tcW w:w="1503" w:type="dxa"/>
          </w:tcPr>
          <w:p w14:paraId="7A50E2DB" w14:textId="63407660" w:rsidR="00542014" w:rsidRPr="00986216" w:rsidRDefault="00787882" w:rsidP="00542014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Covid-19 testi</w:t>
            </w:r>
          </w:p>
        </w:tc>
      </w:tr>
      <w:tr w:rsidR="00A43868" w:rsidRPr="00986216" w14:paraId="5D492F4E" w14:textId="77777777" w:rsidTr="00A43868">
        <w:tc>
          <w:tcPr>
            <w:tcW w:w="3521" w:type="dxa"/>
            <w:vAlign w:val="center"/>
          </w:tcPr>
          <w:p w14:paraId="7850057C" w14:textId="77777777" w:rsidR="002126AD" w:rsidRDefault="002126AD" w:rsidP="00542014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863" w:type="dxa"/>
          </w:tcPr>
          <w:p w14:paraId="30EF5A90" w14:textId="77777777" w:rsidR="002126AD" w:rsidRDefault="002126AD" w:rsidP="00542014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829" w:type="dxa"/>
          </w:tcPr>
          <w:p w14:paraId="69720B2B" w14:textId="77777777" w:rsidR="002126AD" w:rsidRDefault="002126AD" w:rsidP="00542014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863" w:type="dxa"/>
          </w:tcPr>
          <w:p w14:paraId="57236E0D" w14:textId="77777777" w:rsidR="002126AD" w:rsidRDefault="002126AD" w:rsidP="00542014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875" w:type="dxa"/>
          </w:tcPr>
          <w:p w14:paraId="0541C51D" w14:textId="77777777" w:rsidR="002126AD" w:rsidRDefault="002126AD" w:rsidP="00542014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039" w:type="dxa"/>
          </w:tcPr>
          <w:p w14:paraId="47339B96" w14:textId="77777777" w:rsidR="002126AD" w:rsidRDefault="002126AD" w:rsidP="00542014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503" w:type="dxa"/>
          </w:tcPr>
          <w:p w14:paraId="21E4B039" w14:textId="77777777" w:rsidR="002126AD" w:rsidRDefault="002126AD" w:rsidP="00542014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A43868" w:rsidRPr="00986216" w14:paraId="2786BC6E" w14:textId="77777777" w:rsidTr="00A43868">
        <w:tc>
          <w:tcPr>
            <w:tcW w:w="3521" w:type="dxa"/>
            <w:vAlign w:val="center"/>
          </w:tcPr>
          <w:p w14:paraId="0B71C653" w14:textId="5B059079" w:rsidR="002126AD" w:rsidRPr="002126AD" w:rsidRDefault="002126AD" w:rsidP="005420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2126A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Saistību īpatsvars bilancē</w:t>
            </w:r>
          </w:p>
        </w:tc>
        <w:tc>
          <w:tcPr>
            <w:tcW w:w="863" w:type="dxa"/>
          </w:tcPr>
          <w:p w14:paraId="26D207AA" w14:textId="1F439615" w:rsidR="002126AD" w:rsidRDefault="002126AD" w:rsidP="007A3F0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6</w:t>
            </w:r>
            <w:r w:rsidR="008F4CE7">
              <w:rPr>
                <w:rFonts w:ascii="Times New Roman" w:eastAsia="Times New Roman" w:hAnsi="Times New Roman" w:cs="Times New Roman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%</w:t>
            </w:r>
          </w:p>
        </w:tc>
        <w:tc>
          <w:tcPr>
            <w:tcW w:w="829" w:type="dxa"/>
          </w:tcPr>
          <w:p w14:paraId="627CD05C" w14:textId="77777777" w:rsidR="002126AD" w:rsidRDefault="002126AD" w:rsidP="007A3F0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863" w:type="dxa"/>
          </w:tcPr>
          <w:p w14:paraId="69523DD3" w14:textId="1E0DFE2A" w:rsidR="002126AD" w:rsidRDefault="002126AD" w:rsidP="007A3F0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62%</w:t>
            </w:r>
          </w:p>
        </w:tc>
        <w:tc>
          <w:tcPr>
            <w:tcW w:w="875" w:type="dxa"/>
          </w:tcPr>
          <w:p w14:paraId="131AB0C8" w14:textId="77777777" w:rsidR="002126AD" w:rsidRDefault="002126AD" w:rsidP="00542014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039" w:type="dxa"/>
          </w:tcPr>
          <w:p w14:paraId="01FC9611" w14:textId="77777777" w:rsidR="002126AD" w:rsidRDefault="002126AD" w:rsidP="00542014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503" w:type="dxa"/>
          </w:tcPr>
          <w:p w14:paraId="5215C07F" w14:textId="3087CCE9" w:rsidR="002126AD" w:rsidRDefault="008D3442" w:rsidP="00542014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t>Rādītājs sniedz informāciju par sabiedrības aktīviem pret īstermiņa saistībām.</w:t>
            </w:r>
          </w:p>
        </w:tc>
      </w:tr>
      <w:tr w:rsidR="00A43868" w:rsidRPr="00986216" w14:paraId="5C98B2BD" w14:textId="77777777" w:rsidTr="00A43868">
        <w:tc>
          <w:tcPr>
            <w:tcW w:w="3521" w:type="dxa"/>
            <w:vAlign w:val="center"/>
          </w:tcPr>
          <w:p w14:paraId="5C971395" w14:textId="6E3E165A" w:rsidR="002126AD" w:rsidRPr="008F4CE7" w:rsidRDefault="008F4CE7" w:rsidP="005420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8F4CE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Apgrozāmo līdzekļu likviditāte</w:t>
            </w:r>
          </w:p>
        </w:tc>
        <w:tc>
          <w:tcPr>
            <w:tcW w:w="863" w:type="dxa"/>
          </w:tcPr>
          <w:p w14:paraId="2AD723A8" w14:textId="6CBF6AB6" w:rsidR="002126AD" w:rsidRDefault="008F4CE7" w:rsidP="007A3F0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149%</w:t>
            </w:r>
          </w:p>
        </w:tc>
        <w:tc>
          <w:tcPr>
            <w:tcW w:w="829" w:type="dxa"/>
          </w:tcPr>
          <w:p w14:paraId="1A7FA66C" w14:textId="77777777" w:rsidR="002126AD" w:rsidRDefault="002126AD" w:rsidP="007A3F0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863" w:type="dxa"/>
          </w:tcPr>
          <w:p w14:paraId="2E202E2A" w14:textId="4DDFA3D9" w:rsidR="002126AD" w:rsidRDefault="008F4CE7" w:rsidP="007A3F0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151%</w:t>
            </w:r>
          </w:p>
        </w:tc>
        <w:tc>
          <w:tcPr>
            <w:tcW w:w="875" w:type="dxa"/>
          </w:tcPr>
          <w:p w14:paraId="2397CC30" w14:textId="77777777" w:rsidR="002126AD" w:rsidRDefault="002126AD" w:rsidP="00542014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039" w:type="dxa"/>
          </w:tcPr>
          <w:p w14:paraId="1181197E" w14:textId="77777777" w:rsidR="002126AD" w:rsidRDefault="002126AD" w:rsidP="00542014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503" w:type="dxa"/>
          </w:tcPr>
          <w:p w14:paraId="20BBB843" w14:textId="5FBA2136" w:rsidR="002126AD" w:rsidRDefault="00C45F01" w:rsidP="00542014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Sabiedrībai nav problēmu savu saistību kārtošanā</w:t>
            </w:r>
          </w:p>
        </w:tc>
      </w:tr>
      <w:tr w:rsidR="00A43868" w:rsidRPr="008F4CE7" w14:paraId="2DC66A0D" w14:textId="77777777" w:rsidTr="00A43868">
        <w:tc>
          <w:tcPr>
            <w:tcW w:w="3521" w:type="dxa"/>
            <w:vAlign w:val="center"/>
          </w:tcPr>
          <w:p w14:paraId="0924D2D5" w14:textId="4ADDCEC4" w:rsidR="002126AD" w:rsidRPr="008F4CE7" w:rsidRDefault="008F4CE7" w:rsidP="005420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8F4CE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Pašu kapitāla </w:t>
            </w:r>
            <w:proofErr w:type="spellStart"/>
            <w:r w:rsidRPr="008F4CE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atdeve</w:t>
            </w:r>
            <w:proofErr w:type="spellEnd"/>
            <w:r w:rsidRPr="008F4CE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(ROE)</w:t>
            </w:r>
          </w:p>
        </w:tc>
        <w:tc>
          <w:tcPr>
            <w:tcW w:w="863" w:type="dxa"/>
          </w:tcPr>
          <w:p w14:paraId="64B8E33C" w14:textId="6779D270" w:rsidR="002126AD" w:rsidRPr="008F4CE7" w:rsidRDefault="008F4CE7" w:rsidP="007A3F0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8F4CE7">
              <w:rPr>
                <w:rFonts w:ascii="Times New Roman" w:eastAsia="Times New Roman" w:hAnsi="Times New Roman" w:cs="Times New Roman"/>
                <w:lang w:eastAsia="lv-LV"/>
              </w:rPr>
              <w:t>22,6%</w:t>
            </w:r>
          </w:p>
        </w:tc>
        <w:tc>
          <w:tcPr>
            <w:tcW w:w="829" w:type="dxa"/>
          </w:tcPr>
          <w:p w14:paraId="23F254EF" w14:textId="77777777" w:rsidR="002126AD" w:rsidRPr="008F4CE7" w:rsidRDefault="002126AD" w:rsidP="007A3F0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863" w:type="dxa"/>
          </w:tcPr>
          <w:p w14:paraId="22B10A07" w14:textId="054E6278" w:rsidR="002126AD" w:rsidRPr="008F4CE7" w:rsidRDefault="008F4CE7" w:rsidP="007A3F0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8F4CE7">
              <w:rPr>
                <w:rFonts w:ascii="Times New Roman" w:eastAsia="Times New Roman" w:hAnsi="Times New Roman" w:cs="Times New Roman"/>
                <w:lang w:eastAsia="lv-LV"/>
              </w:rPr>
              <w:t>20,99%</w:t>
            </w:r>
          </w:p>
        </w:tc>
        <w:tc>
          <w:tcPr>
            <w:tcW w:w="875" w:type="dxa"/>
          </w:tcPr>
          <w:p w14:paraId="7CDA60AB" w14:textId="77777777" w:rsidR="002126AD" w:rsidRPr="008F4CE7" w:rsidRDefault="002126AD" w:rsidP="00542014">
            <w:pP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039" w:type="dxa"/>
          </w:tcPr>
          <w:p w14:paraId="60BB6DD0" w14:textId="77777777" w:rsidR="002126AD" w:rsidRPr="008F4CE7" w:rsidRDefault="002126AD" w:rsidP="00542014">
            <w:pP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503" w:type="dxa"/>
          </w:tcPr>
          <w:p w14:paraId="1170C1C5" w14:textId="4B24EAB1" w:rsidR="002126AD" w:rsidRPr="008F4CE7" w:rsidRDefault="002D69BF" w:rsidP="00542014">
            <w:pP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t xml:space="preserve">Kapitāla </w:t>
            </w:r>
            <w:proofErr w:type="spellStart"/>
            <w:r>
              <w:t>atdeve</w:t>
            </w:r>
            <w:proofErr w:type="spellEnd"/>
            <w:r>
              <w:t xml:space="preserve"> parāda, cik efektīvi tiek izmantots kapitāls.</w:t>
            </w:r>
          </w:p>
        </w:tc>
      </w:tr>
      <w:tr w:rsidR="00A43868" w:rsidRPr="008F4CE7" w14:paraId="6F3BBEFE" w14:textId="77777777" w:rsidTr="00A43868">
        <w:tc>
          <w:tcPr>
            <w:tcW w:w="3521" w:type="dxa"/>
            <w:vAlign w:val="center"/>
          </w:tcPr>
          <w:p w14:paraId="66D60A4A" w14:textId="5BBDEEB0" w:rsidR="008F4CE7" w:rsidRPr="008F4CE7" w:rsidRDefault="007A3F0A" w:rsidP="007A3F0A">
            <w:pP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   </w:t>
            </w:r>
            <w:r w:rsidR="008F4CE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Aktīvu </w:t>
            </w:r>
            <w:proofErr w:type="spellStart"/>
            <w:r w:rsidR="008F4CE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atdeve</w:t>
            </w:r>
            <w:proofErr w:type="spellEnd"/>
          </w:p>
        </w:tc>
        <w:tc>
          <w:tcPr>
            <w:tcW w:w="863" w:type="dxa"/>
          </w:tcPr>
          <w:p w14:paraId="3C559BB7" w14:textId="6447F239" w:rsidR="008F4CE7" w:rsidRPr="008F4CE7" w:rsidRDefault="008F4CE7" w:rsidP="007A3F0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7,66%</w:t>
            </w:r>
          </w:p>
        </w:tc>
        <w:tc>
          <w:tcPr>
            <w:tcW w:w="829" w:type="dxa"/>
          </w:tcPr>
          <w:p w14:paraId="3B43855C" w14:textId="77777777" w:rsidR="008F4CE7" w:rsidRPr="008F4CE7" w:rsidRDefault="008F4CE7" w:rsidP="007A3F0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863" w:type="dxa"/>
          </w:tcPr>
          <w:p w14:paraId="285FF802" w14:textId="140C77B3" w:rsidR="008F4CE7" w:rsidRPr="008F4CE7" w:rsidRDefault="008F4CE7" w:rsidP="007A3F0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8F4CE7">
              <w:rPr>
                <w:rFonts w:ascii="Times New Roman" w:eastAsia="Times New Roman" w:hAnsi="Times New Roman" w:cs="Times New Roman"/>
                <w:lang w:eastAsia="lv-LV"/>
              </w:rPr>
              <w:t>7,97%</w:t>
            </w:r>
          </w:p>
        </w:tc>
        <w:tc>
          <w:tcPr>
            <w:tcW w:w="875" w:type="dxa"/>
          </w:tcPr>
          <w:p w14:paraId="04BA398D" w14:textId="77777777" w:rsidR="008F4CE7" w:rsidRPr="008F4CE7" w:rsidRDefault="008F4CE7" w:rsidP="00542014">
            <w:pP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039" w:type="dxa"/>
          </w:tcPr>
          <w:p w14:paraId="773E7B02" w14:textId="77777777" w:rsidR="008F4CE7" w:rsidRPr="008F4CE7" w:rsidRDefault="008F4CE7" w:rsidP="00542014">
            <w:pP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503" w:type="dxa"/>
          </w:tcPr>
          <w:p w14:paraId="3302030C" w14:textId="3991FD4E" w:rsidR="008F4CE7" w:rsidRPr="008F4CE7" w:rsidRDefault="002D69BF" w:rsidP="00542014">
            <w:pP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t>Aktīvu rentabilitāte ir viens no svarīgākajiem rādītājiem, kas parāda uzņēmuma konkurētspēju</w:t>
            </w:r>
          </w:p>
        </w:tc>
      </w:tr>
      <w:tr w:rsidR="00A43868" w:rsidRPr="008F4CE7" w14:paraId="4E6C4A70" w14:textId="77777777" w:rsidTr="00A43868">
        <w:tc>
          <w:tcPr>
            <w:tcW w:w="3521" w:type="dxa"/>
            <w:vAlign w:val="center"/>
          </w:tcPr>
          <w:p w14:paraId="5B73A212" w14:textId="6F6ED7F7" w:rsidR="00A43868" w:rsidRDefault="00A43868" w:rsidP="007A3F0A">
            <w:pP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Peļņa pirms procentu maksājumiem,</w:t>
            </w:r>
            <w:r w:rsidR="005445C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nodokļiem,</w:t>
            </w:r>
            <w:r w:rsidR="005445C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nolietojuma un amortizācijas atskaitījumiem(EBITDA)EUR</w:t>
            </w:r>
          </w:p>
        </w:tc>
        <w:tc>
          <w:tcPr>
            <w:tcW w:w="863" w:type="dxa"/>
          </w:tcPr>
          <w:p w14:paraId="7E1D6A0C" w14:textId="1C9B2149" w:rsidR="00A43868" w:rsidRDefault="00A43868" w:rsidP="007A3F0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2199</w:t>
            </w:r>
          </w:p>
        </w:tc>
        <w:tc>
          <w:tcPr>
            <w:tcW w:w="829" w:type="dxa"/>
          </w:tcPr>
          <w:p w14:paraId="497A4293" w14:textId="77777777" w:rsidR="00A43868" w:rsidRPr="008F4CE7" w:rsidRDefault="00A43868" w:rsidP="007A3F0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863" w:type="dxa"/>
          </w:tcPr>
          <w:p w14:paraId="7258D0C0" w14:textId="18EF07F8" w:rsidR="00A43868" w:rsidRPr="008F4CE7" w:rsidRDefault="00A43868" w:rsidP="007A3F0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2412</w:t>
            </w:r>
          </w:p>
        </w:tc>
        <w:tc>
          <w:tcPr>
            <w:tcW w:w="875" w:type="dxa"/>
          </w:tcPr>
          <w:p w14:paraId="544D3D4D" w14:textId="77777777" w:rsidR="00A43868" w:rsidRPr="008F4CE7" w:rsidRDefault="00A43868" w:rsidP="00542014">
            <w:pP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039" w:type="dxa"/>
          </w:tcPr>
          <w:p w14:paraId="32358E03" w14:textId="77777777" w:rsidR="00A43868" w:rsidRPr="008F4CE7" w:rsidRDefault="00A43868" w:rsidP="00542014">
            <w:pP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503" w:type="dxa"/>
          </w:tcPr>
          <w:p w14:paraId="4B95D72A" w14:textId="075EAB95" w:rsidR="00A43868" w:rsidRDefault="00A43868" w:rsidP="00542014">
            <w:r>
              <w:t xml:space="preserve">2023.g.peļņas palielinājums </w:t>
            </w:r>
            <w:r w:rsidR="005445C1">
              <w:t xml:space="preserve">213 EUR </w:t>
            </w:r>
            <w:r>
              <w:t xml:space="preserve">nav būtisks. </w:t>
            </w:r>
          </w:p>
        </w:tc>
      </w:tr>
      <w:tr w:rsidR="005445C1" w:rsidRPr="008F4CE7" w14:paraId="4BB29832" w14:textId="77777777" w:rsidTr="00A43868">
        <w:tc>
          <w:tcPr>
            <w:tcW w:w="3521" w:type="dxa"/>
            <w:vAlign w:val="center"/>
          </w:tcPr>
          <w:p w14:paraId="069A4765" w14:textId="0596E0D1" w:rsidR="005445C1" w:rsidRDefault="005445C1" w:rsidP="007A3F0A">
            <w:pP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Bruto atlīdzība vidēji mēnesī vienam darbiniekam, neskaitot valdi EUR</w:t>
            </w:r>
          </w:p>
        </w:tc>
        <w:tc>
          <w:tcPr>
            <w:tcW w:w="863" w:type="dxa"/>
          </w:tcPr>
          <w:p w14:paraId="67B1B206" w14:textId="22ED4DD9" w:rsidR="005445C1" w:rsidRDefault="00663BA6" w:rsidP="007A3F0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1614</w:t>
            </w:r>
          </w:p>
        </w:tc>
        <w:tc>
          <w:tcPr>
            <w:tcW w:w="829" w:type="dxa"/>
          </w:tcPr>
          <w:p w14:paraId="27078332" w14:textId="77777777" w:rsidR="005445C1" w:rsidRPr="008F4CE7" w:rsidRDefault="005445C1" w:rsidP="007A3F0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863" w:type="dxa"/>
          </w:tcPr>
          <w:p w14:paraId="6640E808" w14:textId="0D7AC93E" w:rsidR="005445C1" w:rsidRDefault="00663BA6" w:rsidP="007A3F0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1330</w:t>
            </w:r>
          </w:p>
        </w:tc>
        <w:tc>
          <w:tcPr>
            <w:tcW w:w="875" w:type="dxa"/>
          </w:tcPr>
          <w:p w14:paraId="63127710" w14:textId="77777777" w:rsidR="005445C1" w:rsidRPr="008F4CE7" w:rsidRDefault="005445C1" w:rsidP="00542014">
            <w:pP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039" w:type="dxa"/>
          </w:tcPr>
          <w:p w14:paraId="566E79D4" w14:textId="77777777" w:rsidR="005445C1" w:rsidRPr="008F4CE7" w:rsidRDefault="005445C1" w:rsidP="00542014">
            <w:pP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503" w:type="dxa"/>
          </w:tcPr>
          <w:p w14:paraId="67448BC3" w14:textId="5D8A3C18" w:rsidR="005445C1" w:rsidRDefault="00663BA6" w:rsidP="00542014">
            <w:r>
              <w:t>Vidējā alga  2022.g. par 284 EUR lielāka, jo saņemtas piemaksas par darbu Covid-19 laikā.</w:t>
            </w:r>
          </w:p>
        </w:tc>
      </w:tr>
    </w:tbl>
    <w:p w14:paraId="53CDF786" w14:textId="4C6ADE29" w:rsidR="00542014" w:rsidRDefault="00542014" w:rsidP="00986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5200318" w14:textId="38BF6FA4" w:rsidR="00EB3C11" w:rsidRDefault="00062A09" w:rsidP="00986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- </w:t>
      </w:r>
      <w:r w:rsidR="00EB3C11">
        <w:rPr>
          <w:rFonts w:ascii="Times New Roman" w:eastAsia="Times New Roman" w:hAnsi="Times New Roman" w:cs="Times New Roman"/>
          <w:sz w:val="24"/>
          <w:szCs w:val="24"/>
          <w:lang w:eastAsia="lv-LV"/>
        </w:rPr>
        <w:t>Vidējais nodarbināto skaits: 6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3678A4D5" w14:textId="69954602" w:rsidR="00062A09" w:rsidRDefault="00062A09" w:rsidP="00986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- 2022.gada peļņa EUR 1875 atstāta iepriekšējo gadu zaudējumu segšanai.</w:t>
      </w:r>
    </w:p>
    <w:p w14:paraId="763640CA" w14:textId="34E36E2F" w:rsidR="00161D2E" w:rsidRDefault="00161D2E" w:rsidP="00986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2F7886B" w14:textId="1044D6BA" w:rsidR="00161D2E" w:rsidRPr="00CC0BED" w:rsidRDefault="00161D2E" w:rsidP="009862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CC0BE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Nefinanšu mērķi</w:t>
      </w:r>
    </w:p>
    <w:p w14:paraId="4D36EF66" w14:textId="77777777" w:rsidR="00161D2E" w:rsidRPr="00CC0BED" w:rsidRDefault="00161D2E" w:rsidP="009862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7BD11A32" w14:textId="5FAB1839" w:rsidR="00161D2E" w:rsidRDefault="00161D2E" w:rsidP="00CC0BED">
      <w:pPr>
        <w:pStyle w:val="Default"/>
      </w:pPr>
      <w:r w:rsidRPr="00C03683">
        <w:rPr>
          <w:rFonts w:eastAsia="Times New Roman"/>
          <w:b/>
          <w:bCs/>
          <w:lang w:eastAsia="lv-LV"/>
        </w:rPr>
        <w:t>Nr.1</w:t>
      </w:r>
      <w:r w:rsidR="00CC0BED" w:rsidRPr="00CC0BED">
        <w:t xml:space="preserve"> D</w:t>
      </w:r>
      <w:r w:rsidRPr="00CC0BED">
        <w:t>rošu, kvalitatīvu un efektīvu veselības aprūpes pakalpojumu pieejamības uzlabošana</w:t>
      </w:r>
      <w:r w:rsidR="001B1EAD">
        <w:t>.</w:t>
      </w:r>
    </w:p>
    <w:p w14:paraId="48C2C6CA" w14:textId="00D4C059" w:rsidR="00663BA6" w:rsidRDefault="00663BA6" w:rsidP="00CC0BED">
      <w:pPr>
        <w:pStyle w:val="Default"/>
      </w:pPr>
      <w:r w:rsidRPr="009E3C82">
        <w:rPr>
          <w:b/>
          <w:bCs/>
        </w:rPr>
        <w:t>Izpilde:</w:t>
      </w:r>
      <w:r w:rsidR="00A04037">
        <w:t>2021.gada nogalē uzsākts un 2022.g.sākumā tika pabeigts remonts visās doktorāta telpās un uzstādīts lifts</w:t>
      </w:r>
      <w:r w:rsidR="00B60154">
        <w:t xml:space="preserve"> labākai pieejamībai personām</w:t>
      </w:r>
      <w:r w:rsidR="00A04037">
        <w:t xml:space="preserve"> ar </w:t>
      </w:r>
      <w:r w:rsidR="009E3C82">
        <w:t>īpašām vajadzībām</w:t>
      </w:r>
      <w:r w:rsidR="00A04037">
        <w:t xml:space="preserve">. </w:t>
      </w:r>
      <w:r w:rsidR="009E3C82">
        <w:t xml:space="preserve">Remonts veikts ar </w:t>
      </w:r>
      <w:r w:rsidR="00B60154">
        <w:t xml:space="preserve">Eiropas, </w:t>
      </w:r>
      <w:r w:rsidR="009E3C82">
        <w:t>Auces pašvaldības un Bēnes doktorāta finanšu līdzekļiem.</w:t>
      </w:r>
      <w:r w:rsidR="00A04037">
        <w:t xml:space="preserve"> </w:t>
      </w:r>
    </w:p>
    <w:p w14:paraId="05AB4CAD" w14:textId="77777777" w:rsidR="00B60154" w:rsidRDefault="00B60154" w:rsidP="00CC0BED">
      <w:pPr>
        <w:pStyle w:val="Default"/>
      </w:pPr>
    </w:p>
    <w:p w14:paraId="694C2AA3" w14:textId="27A059CF" w:rsidR="00B60154" w:rsidRDefault="00CC0BED" w:rsidP="00CC0BED">
      <w:pPr>
        <w:pStyle w:val="Default"/>
      </w:pPr>
      <w:r w:rsidRPr="00C03683">
        <w:rPr>
          <w:b/>
          <w:bCs/>
        </w:rPr>
        <w:t>Nr.2</w:t>
      </w:r>
      <w:r w:rsidRPr="00CC0BED">
        <w:t xml:space="preserve"> Pacientu apmierinātības un </w:t>
      </w:r>
      <w:proofErr w:type="spellStart"/>
      <w:r w:rsidRPr="00CC0BED">
        <w:t>līdzestības</w:t>
      </w:r>
      <w:proofErr w:type="spellEnd"/>
      <w:r w:rsidRPr="00CC0BED">
        <w:t xml:space="preserve"> līmeņa paaugstināšana</w:t>
      </w:r>
      <w:r w:rsidR="001B1EAD">
        <w:t>.</w:t>
      </w:r>
    </w:p>
    <w:p w14:paraId="49885E75" w14:textId="299B569F" w:rsidR="00B60154" w:rsidRDefault="00B60154" w:rsidP="00CC0BED">
      <w:pPr>
        <w:pStyle w:val="Default"/>
      </w:pPr>
      <w:r w:rsidRPr="00B60154">
        <w:rPr>
          <w:b/>
          <w:bCs/>
        </w:rPr>
        <w:t>Izpilde:</w:t>
      </w:r>
      <w:r w:rsidRPr="00B60154">
        <w:t xml:space="preserve"> </w:t>
      </w:r>
      <w:r>
        <w:t>ārsta savstarpējo sadarbību un pacienta apzinīgumu, ievērojot atveseļošanās plānu un ārsta dotās norādes. Īpaši svarīga ir pacienta izpratne par to, kādēļ medikaments ir jālieto.</w:t>
      </w:r>
    </w:p>
    <w:p w14:paraId="0E823430" w14:textId="7CF92151" w:rsidR="007A69B5" w:rsidRDefault="007A69B5" w:rsidP="00CC0BED">
      <w:pPr>
        <w:pStyle w:val="Default"/>
      </w:pPr>
      <w:r>
        <w:t xml:space="preserve">Pacientu skaits katru gadu ir pieaugošs 2022.g.bija </w:t>
      </w:r>
      <w:r w:rsidR="00C14FC6">
        <w:t>1784 pacienti,2023.gadā 1789,</w:t>
      </w:r>
      <w:r w:rsidR="00952AE4">
        <w:t xml:space="preserve"> </w:t>
      </w:r>
      <w:r w:rsidR="00C14FC6">
        <w:t>2024.gada 3 mēnešos reģistrējušies vēl</w:t>
      </w:r>
      <w:r w:rsidR="00952AE4">
        <w:t xml:space="preserve"> 66 pacienti.</w:t>
      </w:r>
    </w:p>
    <w:p w14:paraId="413A09FF" w14:textId="77777777" w:rsidR="00B60154" w:rsidRDefault="00B60154" w:rsidP="00CC0BED">
      <w:pPr>
        <w:pStyle w:val="Default"/>
      </w:pPr>
    </w:p>
    <w:p w14:paraId="29E1EDE5" w14:textId="7F10191D" w:rsidR="00B60154" w:rsidRDefault="00CC0BED" w:rsidP="00CC0BED">
      <w:pPr>
        <w:pStyle w:val="Default"/>
        <w:rPr>
          <w:sz w:val="23"/>
          <w:szCs w:val="23"/>
        </w:rPr>
      </w:pPr>
      <w:r w:rsidRPr="00C03683">
        <w:rPr>
          <w:b/>
          <w:bCs/>
        </w:rPr>
        <w:t>Nr.3</w:t>
      </w:r>
      <w:r>
        <w:t xml:space="preserve"> I</w:t>
      </w:r>
      <w:r>
        <w:rPr>
          <w:sz w:val="23"/>
          <w:szCs w:val="23"/>
        </w:rPr>
        <w:t>nformācijas par pakalpojumiem pieejamīb</w:t>
      </w:r>
      <w:r w:rsidR="00C03683">
        <w:rPr>
          <w:sz w:val="23"/>
          <w:szCs w:val="23"/>
        </w:rPr>
        <w:t>u</w:t>
      </w:r>
      <w:r w:rsidR="001B1EAD">
        <w:rPr>
          <w:sz w:val="23"/>
          <w:szCs w:val="23"/>
        </w:rPr>
        <w:t>.</w:t>
      </w:r>
    </w:p>
    <w:p w14:paraId="55145415" w14:textId="18463A26" w:rsidR="00B60154" w:rsidRDefault="00B60154" w:rsidP="00CC0BED">
      <w:pPr>
        <w:pStyle w:val="Default"/>
        <w:rPr>
          <w:sz w:val="23"/>
          <w:szCs w:val="23"/>
        </w:rPr>
      </w:pPr>
      <w:r w:rsidRPr="00B60154">
        <w:rPr>
          <w:b/>
          <w:bCs/>
          <w:sz w:val="23"/>
          <w:szCs w:val="23"/>
        </w:rPr>
        <w:t>Izpilde:</w:t>
      </w:r>
      <w:r>
        <w:rPr>
          <w:sz w:val="23"/>
          <w:szCs w:val="23"/>
        </w:rPr>
        <w:t xml:space="preserve"> izvietota informācija par pakalpojumu pieejamību </w:t>
      </w:r>
      <w:r w:rsidR="001B1EAD">
        <w:rPr>
          <w:sz w:val="23"/>
          <w:szCs w:val="23"/>
        </w:rPr>
        <w:t xml:space="preserve">doktorātā </w:t>
      </w:r>
      <w:r>
        <w:rPr>
          <w:sz w:val="23"/>
          <w:szCs w:val="23"/>
        </w:rPr>
        <w:t>un</w:t>
      </w:r>
      <w:r w:rsidR="001B1EAD">
        <w:rPr>
          <w:sz w:val="23"/>
          <w:szCs w:val="23"/>
        </w:rPr>
        <w:t xml:space="preserve"> pirmās neatliekamās palīdzības sniegšana</w:t>
      </w:r>
      <w:r>
        <w:rPr>
          <w:sz w:val="23"/>
          <w:szCs w:val="23"/>
        </w:rPr>
        <w:t xml:space="preserve"> tuvāk</w:t>
      </w:r>
      <w:r w:rsidR="001B1EAD">
        <w:rPr>
          <w:sz w:val="23"/>
          <w:szCs w:val="23"/>
        </w:rPr>
        <w:t>ajās</w:t>
      </w:r>
      <w:r>
        <w:rPr>
          <w:sz w:val="23"/>
          <w:szCs w:val="23"/>
        </w:rPr>
        <w:t xml:space="preserve"> pilsētas ārstniecības iestādēs</w:t>
      </w:r>
      <w:r w:rsidR="001B1EAD">
        <w:rPr>
          <w:sz w:val="23"/>
          <w:szCs w:val="23"/>
        </w:rPr>
        <w:t xml:space="preserve"> un regulāri papildināta.</w:t>
      </w:r>
    </w:p>
    <w:p w14:paraId="19C3C468" w14:textId="77777777" w:rsidR="00B60154" w:rsidRDefault="00B60154" w:rsidP="00CC0BED">
      <w:pPr>
        <w:pStyle w:val="Default"/>
        <w:rPr>
          <w:sz w:val="23"/>
          <w:szCs w:val="23"/>
        </w:rPr>
      </w:pPr>
    </w:p>
    <w:p w14:paraId="204A3959" w14:textId="166A1764" w:rsidR="006B7568" w:rsidRDefault="00CC0BED" w:rsidP="00CC0BED">
      <w:pPr>
        <w:pStyle w:val="Default"/>
        <w:rPr>
          <w:sz w:val="23"/>
          <w:szCs w:val="23"/>
        </w:rPr>
      </w:pPr>
      <w:r w:rsidRPr="00C03683">
        <w:rPr>
          <w:b/>
          <w:bCs/>
          <w:sz w:val="23"/>
          <w:szCs w:val="23"/>
        </w:rPr>
        <w:t>Nr.4</w:t>
      </w:r>
      <w:r>
        <w:rPr>
          <w:sz w:val="23"/>
          <w:szCs w:val="23"/>
        </w:rPr>
        <w:t xml:space="preserve"> Veselības veicināšanas un slimību profilakses pasākumu nodrošināšana, iesaistoties pašvaldības    mēroga veselības veicināšanas aktivitātēs</w:t>
      </w:r>
      <w:r w:rsidR="001B1EAD">
        <w:rPr>
          <w:sz w:val="23"/>
          <w:szCs w:val="23"/>
        </w:rPr>
        <w:t>.</w:t>
      </w:r>
    </w:p>
    <w:p w14:paraId="251224DC" w14:textId="10AFD0F7" w:rsidR="00B60154" w:rsidRDefault="00B60154" w:rsidP="00CC0BED">
      <w:pPr>
        <w:pStyle w:val="Default"/>
        <w:rPr>
          <w:sz w:val="23"/>
          <w:szCs w:val="23"/>
        </w:rPr>
      </w:pPr>
      <w:r w:rsidRPr="00C03683">
        <w:rPr>
          <w:b/>
          <w:bCs/>
          <w:sz w:val="23"/>
          <w:szCs w:val="23"/>
        </w:rPr>
        <w:t>Izpilde:</w:t>
      </w:r>
      <w:r>
        <w:rPr>
          <w:sz w:val="23"/>
          <w:szCs w:val="23"/>
        </w:rPr>
        <w:t xml:space="preserve"> doktorāts nodrošina </w:t>
      </w:r>
      <w:r w:rsidR="006B7568">
        <w:rPr>
          <w:sz w:val="23"/>
          <w:szCs w:val="23"/>
        </w:rPr>
        <w:t xml:space="preserve">pacientu vakcināciju pret ērču encefalītu, difteriju, gripu, Covid-19 u.c., veic </w:t>
      </w:r>
      <w:proofErr w:type="spellStart"/>
      <w:r w:rsidR="00C03683">
        <w:rPr>
          <w:sz w:val="23"/>
          <w:szCs w:val="23"/>
        </w:rPr>
        <w:t>arodārsta</w:t>
      </w:r>
      <w:proofErr w:type="spellEnd"/>
      <w:r w:rsidR="00C03683">
        <w:rPr>
          <w:sz w:val="23"/>
          <w:szCs w:val="23"/>
        </w:rPr>
        <w:t xml:space="preserve"> apskati, </w:t>
      </w:r>
      <w:r w:rsidR="001B1EAD">
        <w:rPr>
          <w:sz w:val="23"/>
          <w:szCs w:val="23"/>
        </w:rPr>
        <w:t xml:space="preserve">veic </w:t>
      </w:r>
      <w:r w:rsidR="00C03683">
        <w:rPr>
          <w:sz w:val="23"/>
          <w:szCs w:val="23"/>
        </w:rPr>
        <w:t>autovadītāju</w:t>
      </w:r>
      <w:r w:rsidR="001B1EAD">
        <w:rPr>
          <w:sz w:val="23"/>
          <w:szCs w:val="23"/>
        </w:rPr>
        <w:t xml:space="preserve"> medicīnisko apskati </w:t>
      </w:r>
      <w:r w:rsidR="00C03683">
        <w:rPr>
          <w:sz w:val="23"/>
          <w:szCs w:val="23"/>
        </w:rPr>
        <w:t xml:space="preserve">un </w:t>
      </w:r>
      <w:r w:rsidR="001B1EAD">
        <w:rPr>
          <w:sz w:val="23"/>
          <w:szCs w:val="23"/>
        </w:rPr>
        <w:t xml:space="preserve">personu ar </w:t>
      </w:r>
      <w:r w:rsidR="00C03683">
        <w:rPr>
          <w:sz w:val="23"/>
          <w:szCs w:val="23"/>
        </w:rPr>
        <w:t>sanitāro grāmatiņu</w:t>
      </w:r>
      <w:r w:rsidR="001B1EAD">
        <w:rPr>
          <w:sz w:val="23"/>
          <w:szCs w:val="23"/>
        </w:rPr>
        <w:t xml:space="preserve"> apskati.</w:t>
      </w:r>
    </w:p>
    <w:p w14:paraId="6EE70F0D" w14:textId="77777777" w:rsidR="006B7568" w:rsidRDefault="006B7568" w:rsidP="00CC0BED">
      <w:pPr>
        <w:pStyle w:val="Default"/>
        <w:rPr>
          <w:sz w:val="23"/>
          <w:szCs w:val="23"/>
        </w:rPr>
      </w:pPr>
    </w:p>
    <w:p w14:paraId="15AE1EA7" w14:textId="3F901B0A" w:rsidR="00CC0BED" w:rsidRDefault="00CC0BED" w:rsidP="00CC0BED">
      <w:pPr>
        <w:pStyle w:val="Default"/>
      </w:pPr>
      <w:r w:rsidRPr="006B7568">
        <w:rPr>
          <w:b/>
          <w:bCs/>
          <w:sz w:val="23"/>
          <w:szCs w:val="23"/>
        </w:rPr>
        <w:t>Nr.5</w:t>
      </w:r>
      <w:r>
        <w:rPr>
          <w:sz w:val="23"/>
          <w:szCs w:val="23"/>
        </w:rPr>
        <w:t xml:space="preserve"> S</w:t>
      </w:r>
      <w:r>
        <w:t>ociālās palīdzības pieejamības uzlabošana</w:t>
      </w:r>
      <w:r w:rsidR="006B7568">
        <w:t>.</w:t>
      </w:r>
      <w:r>
        <w:t xml:space="preserve"> </w:t>
      </w:r>
    </w:p>
    <w:p w14:paraId="37D1FC85" w14:textId="59723008" w:rsidR="006B7568" w:rsidRDefault="006B7568" w:rsidP="00CC0BED">
      <w:pPr>
        <w:pStyle w:val="Default"/>
      </w:pPr>
      <w:r w:rsidRPr="006B7568">
        <w:rPr>
          <w:b/>
          <w:bCs/>
        </w:rPr>
        <w:t>Izpilde:</w:t>
      </w:r>
      <w:r>
        <w:t xml:space="preserve"> regulāri dod informāciju par pacientu veselības stāvokli un aprūpi novada sociālajiem darbiniekiem un bāriņtiesai.</w:t>
      </w:r>
    </w:p>
    <w:p w14:paraId="00F13378" w14:textId="77777777" w:rsidR="006B7568" w:rsidRDefault="006B7568" w:rsidP="00CC0BED">
      <w:pPr>
        <w:pStyle w:val="Default"/>
      </w:pPr>
    </w:p>
    <w:p w14:paraId="5A464EA3" w14:textId="54B0B1BD" w:rsidR="00CC0BED" w:rsidRDefault="00CC0BED" w:rsidP="00CC0BED">
      <w:pPr>
        <w:pStyle w:val="Default"/>
        <w:rPr>
          <w:sz w:val="23"/>
          <w:szCs w:val="23"/>
        </w:rPr>
      </w:pPr>
      <w:r w:rsidRPr="006B7568">
        <w:rPr>
          <w:b/>
          <w:bCs/>
        </w:rPr>
        <w:t>Nr.6</w:t>
      </w:r>
      <w:r>
        <w:t xml:space="preserve"> A</w:t>
      </w:r>
      <w:r>
        <w:rPr>
          <w:sz w:val="23"/>
          <w:szCs w:val="23"/>
        </w:rPr>
        <w:t xml:space="preserve">ugsti kvalificēta ārstniecības un atbalsta personāla noturēšana un piesaiste, uz mērķi orientētas un motivētas komandas izveide; </w:t>
      </w:r>
    </w:p>
    <w:p w14:paraId="3CDE9087" w14:textId="66F44340" w:rsidR="009E3C82" w:rsidRDefault="009E3C82" w:rsidP="00CC0BED">
      <w:pPr>
        <w:pStyle w:val="Default"/>
        <w:rPr>
          <w:sz w:val="23"/>
          <w:szCs w:val="23"/>
        </w:rPr>
      </w:pPr>
      <w:r w:rsidRPr="006B7568">
        <w:rPr>
          <w:b/>
          <w:bCs/>
          <w:sz w:val="23"/>
          <w:szCs w:val="23"/>
        </w:rPr>
        <w:t>Izpilde:</w:t>
      </w:r>
      <w:r>
        <w:rPr>
          <w:sz w:val="23"/>
          <w:szCs w:val="23"/>
        </w:rPr>
        <w:t xml:space="preserve"> doktorātā strādā </w:t>
      </w:r>
      <w:r w:rsidR="006B7568">
        <w:rPr>
          <w:sz w:val="23"/>
          <w:szCs w:val="23"/>
        </w:rPr>
        <w:t xml:space="preserve">kvalificēti medicīnas darbinieki, </w:t>
      </w:r>
      <w:r>
        <w:rPr>
          <w:sz w:val="23"/>
          <w:szCs w:val="23"/>
        </w:rPr>
        <w:t xml:space="preserve">ģimenes ārsts ar papildus kvalifikāciju </w:t>
      </w:r>
      <w:proofErr w:type="spellStart"/>
      <w:r>
        <w:rPr>
          <w:sz w:val="23"/>
          <w:szCs w:val="23"/>
        </w:rPr>
        <w:t>arodārsts</w:t>
      </w:r>
      <w:proofErr w:type="spellEnd"/>
      <w:r>
        <w:rPr>
          <w:sz w:val="23"/>
          <w:szCs w:val="23"/>
        </w:rPr>
        <w:t>, divi ārsta palīgi</w:t>
      </w:r>
      <w:r w:rsidR="006B7568">
        <w:rPr>
          <w:sz w:val="23"/>
          <w:szCs w:val="23"/>
        </w:rPr>
        <w:t>.</w:t>
      </w:r>
    </w:p>
    <w:p w14:paraId="72592834" w14:textId="77777777" w:rsidR="006B7568" w:rsidRPr="00CC0BED" w:rsidRDefault="006B7568" w:rsidP="00CC0BED">
      <w:pPr>
        <w:pStyle w:val="Default"/>
      </w:pPr>
    </w:p>
    <w:p w14:paraId="274F4F51" w14:textId="77777777" w:rsidR="006B7568" w:rsidRDefault="00CC0BED" w:rsidP="00CC0BED">
      <w:pPr>
        <w:pStyle w:val="Default"/>
        <w:rPr>
          <w:sz w:val="23"/>
          <w:szCs w:val="23"/>
        </w:rPr>
      </w:pPr>
      <w:r w:rsidRPr="006B7568">
        <w:rPr>
          <w:b/>
          <w:bCs/>
        </w:rPr>
        <w:t>Nr.7</w:t>
      </w:r>
      <w:r>
        <w:t xml:space="preserve"> </w:t>
      </w:r>
      <w:r w:rsidR="00CB2B24">
        <w:rPr>
          <w:sz w:val="23"/>
          <w:szCs w:val="23"/>
        </w:rPr>
        <w:t>I</w:t>
      </w:r>
      <w:r>
        <w:rPr>
          <w:sz w:val="23"/>
          <w:szCs w:val="23"/>
        </w:rPr>
        <w:t>nfrastruktūras efektīva uzturēšana, atjaunošana un pilnveide, racionāli plānojot un veicot nepieciešamās investīcijas</w:t>
      </w:r>
      <w:r w:rsidR="006B7568">
        <w:rPr>
          <w:sz w:val="23"/>
          <w:szCs w:val="23"/>
        </w:rPr>
        <w:t>.</w:t>
      </w:r>
    </w:p>
    <w:p w14:paraId="6B75E661" w14:textId="1374B3DF" w:rsidR="00CC0BED" w:rsidRDefault="006B7568" w:rsidP="00CC0BED">
      <w:pPr>
        <w:pStyle w:val="Default"/>
        <w:rPr>
          <w:sz w:val="23"/>
          <w:szCs w:val="23"/>
        </w:rPr>
      </w:pPr>
      <w:r w:rsidRPr="007B2982">
        <w:rPr>
          <w:b/>
          <w:bCs/>
          <w:sz w:val="23"/>
          <w:szCs w:val="23"/>
        </w:rPr>
        <w:t>Izpilde:</w:t>
      </w:r>
      <w:r w:rsidR="007B2982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pēc telpu remonta veikšanas </w:t>
      </w:r>
      <w:r w:rsidR="002F730B">
        <w:rPr>
          <w:sz w:val="23"/>
          <w:szCs w:val="23"/>
        </w:rPr>
        <w:t xml:space="preserve">2022.gadā </w:t>
      </w:r>
      <w:r>
        <w:rPr>
          <w:sz w:val="23"/>
          <w:szCs w:val="23"/>
        </w:rPr>
        <w:t>ir iegādātas un nomainītas medicīnas iekārtas un inventārs</w:t>
      </w:r>
      <w:r w:rsidR="007B2982">
        <w:rPr>
          <w:sz w:val="23"/>
          <w:szCs w:val="23"/>
        </w:rPr>
        <w:t xml:space="preserve"> par 5177 EUR</w:t>
      </w:r>
      <w:r w:rsidR="002F730B">
        <w:rPr>
          <w:sz w:val="23"/>
          <w:szCs w:val="23"/>
        </w:rPr>
        <w:t xml:space="preserve">, 2023.gadā iegādāts urīna </w:t>
      </w:r>
      <w:proofErr w:type="spellStart"/>
      <w:r w:rsidR="002F730B">
        <w:rPr>
          <w:sz w:val="23"/>
          <w:szCs w:val="23"/>
        </w:rPr>
        <w:t>analizātors</w:t>
      </w:r>
      <w:proofErr w:type="spellEnd"/>
      <w:r w:rsidR="002F730B">
        <w:rPr>
          <w:sz w:val="23"/>
          <w:szCs w:val="23"/>
        </w:rPr>
        <w:t xml:space="preserve"> ar printeri par 1476 EUR.</w:t>
      </w:r>
    </w:p>
    <w:p w14:paraId="4E0AA42F" w14:textId="77777777" w:rsidR="007B2982" w:rsidRDefault="007B2982" w:rsidP="00CC0BED">
      <w:pPr>
        <w:pStyle w:val="Default"/>
        <w:rPr>
          <w:sz w:val="23"/>
          <w:szCs w:val="23"/>
        </w:rPr>
      </w:pPr>
    </w:p>
    <w:p w14:paraId="2BF06B44" w14:textId="255D4201" w:rsidR="00CB2B24" w:rsidRDefault="00CB2B24" w:rsidP="00CB2B24">
      <w:pPr>
        <w:pStyle w:val="Default"/>
        <w:rPr>
          <w:sz w:val="23"/>
          <w:szCs w:val="23"/>
        </w:rPr>
      </w:pPr>
      <w:r w:rsidRPr="000B0436">
        <w:rPr>
          <w:b/>
          <w:bCs/>
          <w:sz w:val="23"/>
          <w:szCs w:val="23"/>
        </w:rPr>
        <w:t>Nr.8</w:t>
      </w:r>
      <w:r>
        <w:rPr>
          <w:sz w:val="23"/>
          <w:szCs w:val="23"/>
        </w:rPr>
        <w:t xml:space="preserve"> Nodrošināt finanšu stabilitāti, lai radītu maksimāli daudz iespēju ienākumu gūšanai</w:t>
      </w:r>
      <w:r w:rsidR="006D79A2">
        <w:rPr>
          <w:sz w:val="23"/>
          <w:szCs w:val="23"/>
        </w:rPr>
        <w:t>.</w:t>
      </w:r>
    </w:p>
    <w:p w14:paraId="533640F4" w14:textId="77777777" w:rsidR="006F5CBA" w:rsidRDefault="007B2982" w:rsidP="00CB2B24">
      <w:pPr>
        <w:pStyle w:val="Default"/>
        <w:rPr>
          <w:sz w:val="23"/>
          <w:szCs w:val="23"/>
        </w:rPr>
      </w:pPr>
      <w:r w:rsidRPr="007B2982">
        <w:rPr>
          <w:b/>
          <w:bCs/>
          <w:sz w:val="23"/>
          <w:szCs w:val="23"/>
        </w:rPr>
        <w:t>Izpilde:</w:t>
      </w:r>
      <w:r>
        <w:rPr>
          <w:sz w:val="23"/>
          <w:szCs w:val="23"/>
        </w:rPr>
        <w:t xml:space="preserve"> tiek veikti maksas pakalpojumi</w:t>
      </w:r>
      <w:r w:rsidR="006F5CBA">
        <w:rPr>
          <w:sz w:val="23"/>
          <w:szCs w:val="23"/>
        </w:rPr>
        <w:t>:</w:t>
      </w:r>
    </w:p>
    <w:p w14:paraId="0E62FE86" w14:textId="77777777" w:rsidR="006F5CBA" w:rsidRDefault="006F5CBA" w:rsidP="00CB2B2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="007B2982">
        <w:rPr>
          <w:sz w:val="23"/>
          <w:szCs w:val="23"/>
        </w:rPr>
        <w:t xml:space="preserve"> kā asins un urīna analīžu paņemšana un nodošana Centrālai laboratorijai apstrādei,</w:t>
      </w:r>
    </w:p>
    <w:p w14:paraId="3D4DAB3C" w14:textId="3A1581BC" w:rsidR="007B2982" w:rsidRDefault="006F5CBA" w:rsidP="00CB2B2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="007B2982">
        <w:rPr>
          <w:sz w:val="23"/>
          <w:szCs w:val="23"/>
        </w:rPr>
        <w:t xml:space="preserve"> veic dažādu komisiju apskates</w:t>
      </w:r>
      <w:r>
        <w:rPr>
          <w:sz w:val="23"/>
          <w:szCs w:val="23"/>
        </w:rPr>
        <w:t>,</w:t>
      </w:r>
    </w:p>
    <w:p w14:paraId="483C1B90" w14:textId="5CE24184" w:rsidR="006F5CBA" w:rsidRDefault="006F5CBA" w:rsidP="00CB2B2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veic intramuskulāro, intravenozo </w:t>
      </w:r>
      <w:r w:rsidR="002F730B">
        <w:rPr>
          <w:sz w:val="23"/>
          <w:szCs w:val="23"/>
        </w:rPr>
        <w:t>injekciju un sistēmas</w:t>
      </w:r>
      <w:r w:rsidR="007A69B5">
        <w:rPr>
          <w:sz w:val="23"/>
          <w:szCs w:val="23"/>
        </w:rPr>
        <w:t>,</w:t>
      </w:r>
    </w:p>
    <w:p w14:paraId="496D4B4A" w14:textId="781E0342" w:rsidR="007A69B5" w:rsidRPr="00CB2B24" w:rsidRDefault="007A69B5" w:rsidP="00CB2B24">
      <w:pPr>
        <w:pStyle w:val="Default"/>
      </w:pPr>
      <w:r>
        <w:rPr>
          <w:sz w:val="23"/>
          <w:szCs w:val="23"/>
        </w:rPr>
        <w:t>- mājas vizītes.</w:t>
      </w:r>
    </w:p>
    <w:p w14:paraId="364D97AF" w14:textId="414FCAF9" w:rsidR="00CB2B24" w:rsidRPr="00CC0BED" w:rsidRDefault="00CB2B24" w:rsidP="00CC0BED">
      <w:pPr>
        <w:pStyle w:val="Default"/>
      </w:pPr>
    </w:p>
    <w:p w14:paraId="2DD24D19" w14:textId="15A8CA0F" w:rsidR="00542014" w:rsidRPr="00542014" w:rsidRDefault="00E36622" w:rsidP="00542014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Izvērtējot finanšu un nefinanšu mērķu izpildes rādītājus, sabiedrība ir stabila, maksātspējīga</w:t>
      </w:r>
      <w:r w:rsidR="00296A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darbība vērsta uz turpmāko attīstību.</w:t>
      </w:r>
    </w:p>
    <w:p w14:paraId="2DE30246" w14:textId="6A6E12AD" w:rsidR="00986216" w:rsidRPr="00986216" w:rsidRDefault="00986216" w:rsidP="00986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5AB6755" w14:textId="73728D1A" w:rsidR="00890284" w:rsidRDefault="005756B8" w:rsidP="002D65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9F7A67">
        <w:rPr>
          <w:rFonts w:ascii="Times New Roman" w:hAnsi="Times New Roman" w:cs="Times New Roman"/>
          <w:sz w:val="24"/>
          <w:szCs w:val="24"/>
        </w:rPr>
        <w:t>aldes locekle</w:t>
      </w:r>
      <w:r w:rsidR="009F7A67">
        <w:rPr>
          <w:rFonts w:ascii="Times New Roman" w:hAnsi="Times New Roman" w:cs="Times New Roman"/>
          <w:sz w:val="24"/>
          <w:szCs w:val="24"/>
        </w:rPr>
        <w:tab/>
      </w:r>
      <w:r w:rsidR="009F7A67">
        <w:rPr>
          <w:rFonts w:ascii="Times New Roman" w:hAnsi="Times New Roman" w:cs="Times New Roman"/>
          <w:sz w:val="24"/>
          <w:szCs w:val="24"/>
        </w:rPr>
        <w:tab/>
      </w:r>
      <w:r w:rsidR="009F7A67">
        <w:rPr>
          <w:rFonts w:ascii="Times New Roman" w:hAnsi="Times New Roman" w:cs="Times New Roman"/>
          <w:sz w:val="24"/>
          <w:szCs w:val="24"/>
        </w:rPr>
        <w:tab/>
      </w:r>
      <w:r w:rsidR="009F7A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F7A67">
        <w:rPr>
          <w:rFonts w:ascii="Times New Roman" w:hAnsi="Times New Roman" w:cs="Times New Roman"/>
          <w:sz w:val="24"/>
          <w:szCs w:val="24"/>
        </w:rPr>
        <w:t>Ilga Roga</w:t>
      </w:r>
    </w:p>
    <w:p w14:paraId="507D46C0" w14:textId="77777777" w:rsidR="006D79A2" w:rsidRDefault="006D79A2" w:rsidP="002D6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F45F60" w14:textId="77777777" w:rsidR="006D79A2" w:rsidRDefault="006D79A2" w:rsidP="002D6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B462A4" w14:textId="77777777" w:rsidR="006D79A2" w:rsidRDefault="006D79A2" w:rsidP="002D6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EE318C" w14:textId="77777777" w:rsidR="006D79A2" w:rsidRPr="007C4815" w:rsidRDefault="006D79A2" w:rsidP="006D79A2">
      <w:pPr>
        <w:tabs>
          <w:tab w:val="left" w:pos="2295"/>
        </w:tabs>
        <w:jc w:val="center"/>
        <w:rPr>
          <w:sz w:val="28"/>
          <w:szCs w:val="28"/>
        </w:rPr>
      </w:pPr>
      <w:r w:rsidRPr="007C4815">
        <w:rPr>
          <w:sz w:val="28"/>
          <w:szCs w:val="28"/>
        </w:rPr>
        <w:t>Dokuments parakstīts ar drošu elektronisko parakstu un satur laika zīmogu</w:t>
      </w:r>
    </w:p>
    <w:sectPr w:rsidR="006D79A2" w:rsidRPr="007C4815" w:rsidSect="0060736F">
      <w:pgSz w:w="11906" w:h="16838"/>
      <w:pgMar w:top="1077" w:right="107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0C95CAA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51DAC4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1DC4A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0792F01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17671F6"/>
    <w:multiLevelType w:val="multilevel"/>
    <w:tmpl w:val="F3CC85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DFA07B8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007F19B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10812182">
    <w:abstractNumId w:val="4"/>
  </w:num>
  <w:num w:numId="2" w16cid:durableId="1030842474">
    <w:abstractNumId w:val="5"/>
  </w:num>
  <w:num w:numId="3" w16cid:durableId="1583029113">
    <w:abstractNumId w:val="1"/>
  </w:num>
  <w:num w:numId="4" w16cid:durableId="2110344050">
    <w:abstractNumId w:val="6"/>
  </w:num>
  <w:num w:numId="5" w16cid:durableId="828522900">
    <w:abstractNumId w:val="0"/>
  </w:num>
  <w:num w:numId="6" w16cid:durableId="924799456">
    <w:abstractNumId w:val="3"/>
  </w:num>
  <w:num w:numId="7" w16cid:durableId="525946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216"/>
    <w:rsid w:val="00062A09"/>
    <w:rsid w:val="000B0436"/>
    <w:rsid w:val="001329E6"/>
    <w:rsid w:val="00134952"/>
    <w:rsid w:val="00161D2E"/>
    <w:rsid w:val="001901C1"/>
    <w:rsid w:val="001B1EAD"/>
    <w:rsid w:val="002126AD"/>
    <w:rsid w:val="0027187B"/>
    <w:rsid w:val="00296ADD"/>
    <w:rsid w:val="002B71C9"/>
    <w:rsid w:val="002D65A7"/>
    <w:rsid w:val="002D69BF"/>
    <w:rsid w:val="002E0167"/>
    <w:rsid w:val="002F730B"/>
    <w:rsid w:val="004953C9"/>
    <w:rsid w:val="00542014"/>
    <w:rsid w:val="005445C1"/>
    <w:rsid w:val="005756B8"/>
    <w:rsid w:val="0058726C"/>
    <w:rsid w:val="0060736F"/>
    <w:rsid w:val="00663BA6"/>
    <w:rsid w:val="006B7568"/>
    <w:rsid w:val="006D79A2"/>
    <w:rsid w:val="006F5CBA"/>
    <w:rsid w:val="00713E20"/>
    <w:rsid w:val="00787882"/>
    <w:rsid w:val="00792453"/>
    <w:rsid w:val="007A3F0A"/>
    <w:rsid w:val="007A69B5"/>
    <w:rsid w:val="007B2982"/>
    <w:rsid w:val="00830750"/>
    <w:rsid w:val="00890284"/>
    <w:rsid w:val="00894365"/>
    <w:rsid w:val="008A2946"/>
    <w:rsid w:val="008D3442"/>
    <w:rsid w:val="008E5068"/>
    <w:rsid w:val="008F4CE7"/>
    <w:rsid w:val="00903EF6"/>
    <w:rsid w:val="00952AE4"/>
    <w:rsid w:val="009800F5"/>
    <w:rsid w:val="00986216"/>
    <w:rsid w:val="00993F8E"/>
    <w:rsid w:val="009A37EF"/>
    <w:rsid w:val="009C6E09"/>
    <w:rsid w:val="009E3C82"/>
    <w:rsid w:val="009F7A67"/>
    <w:rsid w:val="00A04037"/>
    <w:rsid w:val="00A20D5D"/>
    <w:rsid w:val="00A43868"/>
    <w:rsid w:val="00A77776"/>
    <w:rsid w:val="00AE78A0"/>
    <w:rsid w:val="00B60154"/>
    <w:rsid w:val="00BC66E9"/>
    <w:rsid w:val="00C03683"/>
    <w:rsid w:val="00C14FC6"/>
    <w:rsid w:val="00C45F01"/>
    <w:rsid w:val="00CB2B24"/>
    <w:rsid w:val="00CC0BED"/>
    <w:rsid w:val="00D64A86"/>
    <w:rsid w:val="00E129A0"/>
    <w:rsid w:val="00E36622"/>
    <w:rsid w:val="00EB3C11"/>
    <w:rsid w:val="00EF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5A94A2"/>
  <w15:chartTrackingRefBased/>
  <w15:docId w15:val="{3A61227C-A2F5-42DD-9887-22762662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86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86216"/>
    <w:pPr>
      <w:ind w:left="720"/>
      <w:contextualSpacing/>
    </w:pPr>
  </w:style>
  <w:style w:type="paragraph" w:styleId="Bezatstarpm">
    <w:name w:val="No Spacing"/>
    <w:uiPriority w:val="1"/>
    <w:qFormat/>
    <w:rsid w:val="00A20D5D"/>
    <w:pPr>
      <w:spacing w:after="0" w:line="240" w:lineRule="auto"/>
    </w:pPr>
  </w:style>
  <w:style w:type="paragraph" w:customStyle="1" w:styleId="Default">
    <w:name w:val="Default"/>
    <w:rsid w:val="00161D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91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3412</Words>
  <Characters>1945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Rasiņa</dc:creator>
  <cp:keywords/>
  <dc:description/>
  <cp:lastModifiedBy>Zinaida Riekstiņa</cp:lastModifiedBy>
  <cp:revision>2</cp:revision>
  <dcterms:created xsi:type="dcterms:W3CDTF">2024-05-28T12:54:00Z</dcterms:created>
  <dcterms:modified xsi:type="dcterms:W3CDTF">2024-05-28T12:54:00Z</dcterms:modified>
</cp:coreProperties>
</file>