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7230" w14:textId="1FC5C84D" w:rsidR="001713EF" w:rsidRDefault="001713EF" w:rsidP="00075768">
      <w:pPr>
        <w:keepNext/>
        <w:spacing w:before="240" w:after="60" w:line="276" w:lineRule="auto"/>
        <w:jc w:val="center"/>
        <w:outlineLvl w:val="1"/>
        <w:rPr>
          <w:rFonts w:eastAsia="Times New Roman" w:cs="Times New Roman"/>
          <w:b/>
          <w:bCs/>
          <w:iCs/>
          <w:szCs w:val="28"/>
        </w:rPr>
      </w:pPr>
      <w:bookmarkStart w:id="0" w:name="_Toc102400870"/>
      <w:bookmarkStart w:id="1" w:name="_Toc106098174"/>
      <w:bookmarkStart w:id="2" w:name="_Toc106098265"/>
      <w:bookmarkStart w:id="3" w:name="_Toc106098360"/>
      <w:bookmarkStart w:id="4" w:name="_Toc106098619"/>
      <w:bookmarkStart w:id="5" w:name="_Toc106098943"/>
      <w:bookmarkStart w:id="6" w:name="_Toc106099056"/>
      <w:bookmarkStart w:id="7" w:name="_Toc129852072"/>
      <w:r w:rsidRPr="00C15997">
        <w:rPr>
          <w:rFonts w:eastAsia="Times New Roman" w:cs="Times New Roman"/>
          <w:b/>
          <w:bCs/>
          <w:iCs/>
          <w:szCs w:val="28"/>
        </w:rPr>
        <w:t>Dobeles novada bāriņtiesas darbība 202</w:t>
      </w:r>
      <w:r w:rsidR="00124B7F" w:rsidRPr="00C15997">
        <w:rPr>
          <w:rFonts w:eastAsia="Times New Roman" w:cs="Times New Roman"/>
          <w:b/>
          <w:bCs/>
          <w:iCs/>
          <w:szCs w:val="28"/>
        </w:rPr>
        <w:t>2</w:t>
      </w:r>
      <w:r w:rsidRPr="00C15997">
        <w:rPr>
          <w:rFonts w:eastAsia="Times New Roman" w:cs="Times New Roman"/>
          <w:b/>
          <w:bCs/>
          <w:iCs/>
          <w:szCs w:val="28"/>
        </w:rPr>
        <w:t>. gadā</w:t>
      </w:r>
      <w:bookmarkEnd w:id="0"/>
      <w:bookmarkEnd w:id="1"/>
      <w:bookmarkEnd w:id="2"/>
      <w:bookmarkEnd w:id="3"/>
      <w:bookmarkEnd w:id="4"/>
      <w:bookmarkEnd w:id="5"/>
      <w:bookmarkEnd w:id="6"/>
      <w:bookmarkEnd w:id="7"/>
    </w:p>
    <w:p w14:paraId="181B9516" w14:textId="77777777" w:rsidR="00075768" w:rsidRPr="00C15997" w:rsidRDefault="00075768" w:rsidP="00075768">
      <w:pPr>
        <w:keepNext/>
        <w:spacing w:before="240" w:after="60" w:line="276" w:lineRule="auto"/>
        <w:jc w:val="center"/>
        <w:outlineLvl w:val="1"/>
        <w:rPr>
          <w:rFonts w:eastAsia="Times New Roman" w:cs="Times New Roman"/>
          <w:b/>
          <w:bCs/>
          <w:iCs/>
          <w:szCs w:val="28"/>
        </w:rPr>
      </w:pPr>
    </w:p>
    <w:p w14:paraId="45487893" w14:textId="77777777" w:rsidR="001713EF" w:rsidRPr="00C15997" w:rsidRDefault="001713EF" w:rsidP="001713EF">
      <w:pPr>
        <w:spacing w:after="0" w:line="240" w:lineRule="auto"/>
        <w:ind w:firstLine="720"/>
        <w:jc w:val="both"/>
        <w:rPr>
          <w:rFonts w:eastAsia="Calibri" w:cs="Times New Roman"/>
        </w:rPr>
      </w:pPr>
      <w:r w:rsidRPr="00C15997">
        <w:rPr>
          <w:rFonts w:eastAsia="Calibri" w:cs="Times New Roman"/>
        </w:rPr>
        <w:t>Bāriņtiesa savā darbībā pamatojas uz normatīvajiem aktiem un publisko tiesību principiem. Bāriņtiesas darbības noteikumus nosaka Ministru kabinets.</w:t>
      </w:r>
    </w:p>
    <w:p w14:paraId="084670C7" w14:textId="77777777" w:rsidR="001713EF" w:rsidRPr="00C15997" w:rsidRDefault="001713EF" w:rsidP="001713EF">
      <w:pPr>
        <w:spacing w:after="0" w:line="240" w:lineRule="auto"/>
        <w:ind w:firstLine="720"/>
        <w:jc w:val="both"/>
        <w:rPr>
          <w:rFonts w:eastAsia="Calibri" w:cs="Times New Roman"/>
        </w:rPr>
      </w:pPr>
      <w:r w:rsidRPr="00C15997">
        <w:rPr>
          <w:rFonts w:eastAsia="Calibri" w:cs="Times New Roman"/>
        </w:rPr>
        <w:t>Dobeles novada bāriņtiesa (turpmāk – Bāriņtiesa) ir Dobeles novada domes izveidota aizbildnības un aizgādnības iestāde, kas Dobeles novada administratīvajā teritorijā prioritāri nodrošina bērna vai aizgādnībā esošās personas tiesību un tiesisko interešu aizstāvību.</w:t>
      </w:r>
    </w:p>
    <w:p w14:paraId="11613FD0" w14:textId="64B4B805" w:rsidR="001713EF" w:rsidRPr="00C15997" w:rsidRDefault="001713EF" w:rsidP="001713EF">
      <w:pPr>
        <w:spacing w:after="0" w:line="240" w:lineRule="auto"/>
        <w:ind w:firstLine="720"/>
        <w:jc w:val="both"/>
        <w:rPr>
          <w:rFonts w:eastAsia="Calibri" w:cs="Times New Roman"/>
        </w:rPr>
      </w:pPr>
      <w:r w:rsidRPr="00C15997">
        <w:rPr>
          <w:rFonts w:eastAsia="Calibri" w:cs="Times New Roman"/>
        </w:rPr>
        <w:t xml:space="preserve">Bāriņtiesas sastāvā ir bāriņtiesas priekšsēdētāja, priekšsēdētājas vietniece, </w:t>
      </w:r>
      <w:r w:rsidR="006A4B13" w:rsidRPr="00C15997">
        <w:rPr>
          <w:rFonts w:eastAsia="Calibri" w:cs="Times New Roman"/>
        </w:rPr>
        <w:t>divpadsmit</w:t>
      </w:r>
      <w:r w:rsidRPr="00C15997">
        <w:rPr>
          <w:rFonts w:eastAsia="Calibri" w:cs="Times New Roman"/>
        </w:rPr>
        <w:t xml:space="preserve"> bāriņtiesas locekles, </w:t>
      </w:r>
      <w:r w:rsidR="006A4B13" w:rsidRPr="00C15997">
        <w:rPr>
          <w:rFonts w:eastAsia="Calibri" w:cs="Times New Roman"/>
        </w:rPr>
        <w:t xml:space="preserve"> divas</w:t>
      </w:r>
      <w:r w:rsidRPr="00C15997">
        <w:rPr>
          <w:rFonts w:eastAsia="Calibri" w:cs="Times New Roman"/>
        </w:rPr>
        <w:t xml:space="preserve"> sekretāre</w:t>
      </w:r>
      <w:r w:rsidR="006A4B13" w:rsidRPr="00C15997">
        <w:rPr>
          <w:rFonts w:eastAsia="Calibri" w:cs="Times New Roman"/>
        </w:rPr>
        <w:t>s</w:t>
      </w:r>
      <w:r w:rsidRPr="00C15997">
        <w:rPr>
          <w:rFonts w:eastAsia="Calibri" w:cs="Times New Roman"/>
        </w:rPr>
        <w:t xml:space="preserve"> un div</w:t>
      </w:r>
      <w:r w:rsidR="006A4B13" w:rsidRPr="00C15997">
        <w:rPr>
          <w:rFonts w:eastAsia="Calibri" w:cs="Times New Roman"/>
        </w:rPr>
        <w:t>i</w:t>
      </w:r>
      <w:r w:rsidRPr="00C15997">
        <w:rPr>
          <w:rFonts w:eastAsia="Calibri" w:cs="Times New Roman"/>
        </w:rPr>
        <w:t xml:space="preserve"> bāriņtiesas locekļa palī</w:t>
      </w:r>
      <w:r w:rsidR="006A4B13" w:rsidRPr="00C15997">
        <w:rPr>
          <w:rFonts w:eastAsia="Calibri" w:cs="Times New Roman"/>
        </w:rPr>
        <w:t>gi</w:t>
      </w:r>
      <w:r w:rsidRPr="00C15997">
        <w:rPr>
          <w:rFonts w:eastAsia="Calibri" w:cs="Times New Roman"/>
        </w:rPr>
        <w:t>.</w:t>
      </w:r>
    </w:p>
    <w:p w14:paraId="5AD9C6E8" w14:textId="77777777" w:rsidR="001713EF" w:rsidRPr="00C15997" w:rsidRDefault="001713EF" w:rsidP="001713EF">
      <w:pPr>
        <w:spacing w:before="120" w:after="0" w:line="240" w:lineRule="auto"/>
        <w:jc w:val="both"/>
        <w:rPr>
          <w:rFonts w:eastAsia="Calibri" w:cs="Times New Roman"/>
          <w:b/>
        </w:rPr>
      </w:pPr>
      <w:r w:rsidRPr="00C15997">
        <w:rPr>
          <w:rFonts w:eastAsia="Calibri" w:cs="Times New Roman"/>
          <w:b/>
        </w:rPr>
        <w:t>Pieņemtie lēmumi</w:t>
      </w:r>
    </w:p>
    <w:p w14:paraId="78A4331F" w14:textId="18A4D844" w:rsidR="001713EF" w:rsidRPr="00C15997" w:rsidRDefault="001713EF" w:rsidP="00C15997">
      <w:pPr>
        <w:spacing w:after="0" w:line="240" w:lineRule="auto"/>
        <w:ind w:firstLine="720"/>
        <w:jc w:val="both"/>
        <w:rPr>
          <w:rFonts w:eastAsia="Calibri" w:cs="Times New Roman"/>
        </w:rPr>
      </w:pPr>
      <w:r w:rsidRPr="00C15997">
        <w:rPr>
          <w:rFonts w:eastAsia="Calibri" w:cs="Times New Roman"/>
        </w:rPr>
        <w:t>202</w:t>
      </w:r>
      <w:r w:rsidR="006A4B13" w:rsidRPr="00C15997">
        <w:rPr>
          <w:rFonts w:eastAsia="Calibri" w:cs="Times New Roman"/>
        </w:rPr>
        <w:t>2</w:t>
      </w:r>
      <w:r w:rsidRPr="00C15997">
        <w:rPr>
          <w:rFonts w:eastAsia="Calibri" w:cs="Times New Roman"/>
        </w:rPr>
        <w:t>. gadā bāriņtiesā notikusi 1</w:t>
      </w:r>
      <w:r w:rsidR="008B7700" w:rsidRPr="00C15997">
        <w:rPr>
          <w:rFonts w:eastAsia="Calibri" w:cs="Times New Roman"/>
        </w:rPr>
        <w:t>85</w:t>
      </w:r>
      <w:r w:rsidRPr="00C15997">
        <w:rPr>
          <w:rFonts w:eastAsia="Calibri" w:cs="Times New Roman"/>
        </w:rPr>
        <w:t xml:space="preserve"> bāriņtiesas sēde</w:t>
      </w:r>
      <w:r w:rsidR="00C15997">
        <w:rPr>
          <w:rFonts w:eastAsia="Calibri" w:cs="Times New Roman"/>
        </w:rPr>
        <w:t>s</w:t>
      </w:r>
      <w:r w:rsidRPr="00C15997">
        <w:rPr>
          <w:rFonts w:eastAsia="Calibri" w:cs="Times New Roman"/>
        </w:rPr>
        <w:t>, pieņemti 1</w:t>
      </w:r>
      <w:r w:rsidR="008B7700" w:rsidRPr="00C15997">
        <w:rPr>
          <w:rFonts w:eastAsia="Calibri" w:cs="Times New Roman"/>
        </w:rPr>
        <w:t>7</w:t>
      </w:r>
      <w:r w:rsidR="006A4B13" w:rsidRPr="00C15997">
        <w:rPr>
          <w:rFonts w:eastAsia="Calibri" w:cs="Times New Roman"/>
        </w:rPr>
        <w:t>7</w:t>
      </w:r>
      <w:r w:rsidRPr="00C15997">
        <w:rPr>
          <w:rFonts w:eastAsia="Calibri" w:cs="Times New Roman"/>
        </w:rPr>
        <w:t xml:space="preserve"> lēmumi, no tiem </w:t>
      </w:r>
      <w:r w:rsidR="006A4B13" w:rsidRPr="00C15997">
        <w:rPr>
          <w:rFonts w:eastAsia="Calibri" w:cs="Times New Roman"/>
        </w:rPr>
        <w:t>7</w:t>
      </w:r>
      <w:r w:rsidRPr="00C15997">
        <w:rPr>
          <w:rFonts w:eastAsia="Calibri" w:cs="Times New Roman"/>
        </w:rPr>
        <w:t xml:space="preserve"> vienpersoniski lēmumi </w:t>
      </w:r>
      <w:r w:rsidR="006A4B13" w:rsidRPr="00C15997">
        <w:rPr>
          <w:rFonts w:eastAsia="Calibri" w:cs="Times New Roman"/>
        </w:rPr>
        <w:t xml:space="preserve">( visi </w:t>
      </w:r>
      <w:r w:rsidRPr="00C15997">
        <w:rPr>
          <w:rFonts w:eastAsia="Calibri" w:cs="Times New Roman"/>
        </w:rPr>
        <w:t>par aizgādības tiesību pārtraukšanu vecākiem</w:t>
      </w:r>
      <w:r w:rsidR="006A4B13" w:rsidRPr="00C15997">
        <w:rPr>
          <w:rFonts w:eastAsia="Calibri" w:cs="Times New Roman"/>
        </w:rPr>
        <w:t>)</w:t>
      </w:r>
      <w:r w:rsidR="00C15997">
        <w:rPr>
          <w:rFonts w:eastAsia="Calibri" w:cs="Times New Roman"/>
        </w:rPr>
        <w:t xml:space="preserve">, 16 lēmumi </w:t>
      </w:r>
      <w:r w:rsidR="00C15997" w:rsidRPr="00C15997">
        <w:rPr>
          <w:rFonts w:eastAsia="Calibri" w:cs="Times New Roman"/>
        </w:rPr>
        <w:t>par nepilngadīgo bērnu un personu ar ierobežotu rīcībspēju mantisko interešu nodrošināšanu vai aizstāvību</w:t>
      </w:r>
      <w:r w:rsidR="00C15997">
        <w:rPr>
          <w:rFonts w:eastAsia="Calibri" w:cs="Times New Roman"/>
        </w:rPr>
        <w:t>.</w:t>
      </w:r>
      <w:r w:rsidRPr="00C15997">
        <w:rPr>
          <w:rFonts w:eastAsia="Calibri" w:cs="Times New Roman"/>
        </w:rPr>
        <w:t xml:space="preserve"> </w:t>
      </w:r>
    </w:p>
    <w:p w14:paraId="5A4462E2" w14:textId="12B544B1" w:rsidR="001713EF" w:rsidRPr="00C15997" w:rsidRDefault="001713EF" w:rsidP="001713EF">
      <w:pPr>
        <w:spacing w:after="0" w:line="240" w:lineRule="auto"/>
        <w:ind w:firstLine="720"/>
        <w:jc w:val="both"/>
        <w:rPr>
          <w:rFonts w:eastAsia="Calibri" w:cs="Times New Roman"/>
        </w:rPr>
      </w:pPr>
      <w:bookmarkStart w:id="8" w:name="_Hlk65151206"/>
      <w:r w:rsidRPr="00C15997">
        <w:rPr>
          <w:rFonts w:eastAsia="Calibri" w:cs="Times New Roman"/>
        </w:rPr>
        <w:t>Bāriņtiesas darbības nodrošināšanai pārskata gadā nosūtīti 2</w:t>
      </w:r>
      <w:r w:rsidR="008543DB" w:rsidRPr="00C15997">
        <w:rPr>
          <w:rFonts w:eastAsia="Calibri" w:cs="Times New Roman"/>
        </w:rPr>
        <w:t>310</w:t>
      </w:r>
      <w:r w:rsidRPr="00C15997">
        <w:rPr>
          <w:rFonts w:eastAsia="Calibri" w:cs="Times New Roman"/>
        </w:rPr>
        <w:t xml:space="preserve"> dokumenti, saņemti </w:t>
      </w:r>
      <w:r w:rsidR="008543DB" w:rsidRPr="00C15997">
        <w:rPr>
          <w:rFonts w:eastAsia="Calibri" w:cs="Times New Roman"/>
        </w:rPr>
        <w:t>2037</w:t>
      </w:r>
      <w:r w:rsidRPr="00C15997">
        <w:rPr>
          <w:rFonts w:eastAsia="Calibri" w:cs="Times New Roman"/>
        </w:rPr>
        <w:t xml:space="preserve"> dokumenti. Ir palielinājies gan saņemto, gan nosūtīto dokumentu skaits. </w:t>
      </w:r>
    </w:p>
    <w:p w14:paraId="0C924E33" w14:textId="176F36DE" w:rsidR="001713EF" w:rsidRPr="00C15997" w:rsidRDefault="001713EF" w:rsidP="001713EF">
      <w:pPr>
        <w:spacing w:after="0" w:line="240" w:lineRule="auto"/>
        <w:ind w:firstLine="720"/>
        <w:jc w:val="both"/>
        <w:rPr>
          <w:rFonts w:eastAsia="Calibri" w:cs="Times New Roman"/>
        </w:rPr>
      </w:pPr>
      <w:r w:rsidRPr="00C15997">
        <w:rPr>
          <w:rFonts w:eastAsia="Calibri" w:cs="Times New Roman"/>
        </w:rPr>
        <w:t xml:space="preserve">Pārskata periodā tika ierosinātas </w:t>
      </w:r>
      <w:r w:rsidR="008543DB" w:rsidRPr="00C15997">
        <w:rPr>
          <w:rFonts w:eastAsia="Calibri" w:cs="Times New Roman"/>
        </w:rPr>
        <w:t>110</w:t>
      </w:r>
      <w:r w:rsidRPr="00C15997">
        <w:rPr>
          <w:rFonts w:eastAsia="Calibri" w:cs="Times New Roman"/>
        </w:rPr>
        <w:t xml:space="preserve"> jaunas lietas.</w:t>
      </w:r>
      <w:bookmarkEnd w:id="8"/>
    </w:p>
    <w:p w14:paraId="63CEA2B0" w14:textId="77777777" w:rsidR="001713EF" w:rsidRPr="00C15997" w:rsidRDefault="001713EF" w:rsidP="001713EF">
      <w:pPr>
        <w:spacing w:before="120" w:after="0" w:line="240" w:lineRule="auto"/>
        <w:rPr>
          <w:rFonts w:eastAsia="Times New Roman" w:cs="Times New Roman"/>
          <w:b/>
          <w:sz w:val="16"/>
          <w:szCs w:val="16"/>
        </w:rPr>
      </w:pPr>
      <w:r w:rsidRPr="00C15997">
        <w:rPr>
          <w:rFonts w:eastAsia="Times New Roman" w:cs="Times New Roman"/>
          <w:b/>
          <w:szCs w:val="28"/>
        </w:rPr>
        <w:t xml:space="preserve">Aizgādības tiesības </w:t>
      </w:r>
    </w:p>
    <w:p w14:paraId="09442191" w14:textId="77777777" w:rsidR="001713EF" w:rsidRPr="00C15997" w:rsidRDefault="001713EF" w:rsidP="001713EF">
      <w:pPr>
        <w:spacing w:after="0" w:line="240" w:lineRule="auto"/>
        <w:ind w:firstLine="720"/>
        <w:jc w:val="both"/>
        <w:rPr>
          <w:rFonts w:eastAsia="Calibri" w:cs="Times New Roman"/>
        </w:rPr>
      </w:pPr>
      <w:r w:rsidRPr="00C15997">
        <w:rPr>
          <w:rFonts w:eastAsia="Calibri" w:cs="Times New Roman"/>
        </w:rPr>
        <w:t>Līdz pilngadības sasniegšanai bērns ir vecāku aizgādībā. Aizgādība ir vecāku pienākums rūpēties par bērnu un viņa mantu un pārstāvēt bērnu viņa personiskajās un mantiskajās attiecībās.</w:t>
      </w:r>
    </w:p>
    <w:p w14:paraId="15C8732C" w14:textId="3D6A2002" w:rsidR="001713EF" w:rsidRPr="00C15997" w:rsidRDefault="001713EF" w:rsidP="003377D7">
      <w:pPr>
        <w:shd w:val="clear" w:color="auto" w:fill="FFFFFF" w:themeFill="background1"/>
        <w:spacing w:after="0" w:line="240" w:lineRule="auto"/>
        <w:ind w:firstLine="720"/>
        <w:jc w:val="both"/>
        <w:rPr>
          <w:rFonts w:eastAsia="Times New Roman" w:cs="Times New Roman"/>
        </w:rPr>
      </w:pPr>
      <w:r w:rsidRPr="00C15997">
        <w:rPr>
          <w:rFonts w:eastAsia="Times New Roman" w:cs="Times New Roman"/>
        </w:rPr>
        <w:t>202</w:t>
      </w:r>
      <w:r w:rsidR="00A61B0C" w:rsidRPr="00C15997">
        <w:rPr>
          <w:rFonts w:eastAsia="Times New Roman" w:cs="Times New Roman"/>
        </w:rPr>
        <w:t>2</w:t>
      </w:r>
      <w:r w:rsidRPr="00C15997">
        <w:rPr>
          <w:rFonts w:eastAsia="Times New Roman" w:cs="Times New Roman"/>
        </w:rPr>
        <w:t>.gadā pieņemt</w:t>
      </w:r>
      <w:r w:rsidR="00A61B0C" w:rsidRPr="00C15997">
        <w:rPr>
          <w:rFonts w:eastAsia="Times New Roman" w:cs="Times New Roman"/>
        </w:rPr>
        <w:t>i</w:t>
      </w:r>
      <w:r w:rsidRPr="00C15997">
        <w:rPr>
          <w:rFonts w:eastAsia="Times New Roman" w:cs="Times New Roman"/>
        </w:rPr>
        <w:t xml:space="preserve"> </w:t>
      </w:r>
      <w:r w:rsidR="00A61B0C" w:rsidRPr="00C15997">
        <w:rPr>
          <w:rFonts w:eastAsia="Times New Roman" w:cs="Times New Roman"/>
        </w:rPr>
        <w:t>33</w:t>
      </w:r>
      <w:r w:rsidRPr="00C15997">
        <w:rPr>
          <w:rFonts w:eastAsia="Times New Roman" w:cs="Times New Roman"/>
        </w:rPr>
        <w:t xml:space="preserve"> lēmum</w:t>
      </w:r>
      <w:r w:rsidR="00A61B0C" w:rsidRPr="00C15997">
        <w:rPr>
          <w:rFonts w:eastAsia="Times New Roman" w:cs="Times New Roman"/>
        </w:rPr>
        <w:t>i</w:t>
      </w:r>
      <w:r w:rsidRPr="00C15997">
        <w:rPr>
          <w:rFonts w:eastAsia="Times New Roman" w:cs="Times New Roman"/>
        </w:rPr>
        <w:t xml:space="preserve"> ar kuriem</w:t>
      </w:r>
      <w:r w:rsidR="00A61B0C" w:rsidRPr="00C15997">
        <w:rPr>
          <w:rFonts w:eastAsia="Times New Roman" w:cs="Times New Roman"/>
        </w:rPr>
        <w:t xml:space="preserve"> 8</w:t>
      </w:r>
      <w:r w:rsidRPr="00C15997">
        <w:rPr>
          <w:rFonts w:eastAsia="Times New Roman" w:cs="Times New Roman"/>
        </w:rPr>
        <w:t xml:space="preserve"> vecākiem bāriņtiesa pārtrauca aizgādības tiesības, jo bija konstatēta vecāku vardarbība pret bērnu</w:t>
      </w:r>
      <w:r w:rsidR="00A61B0C" w:rsidRPr="00C15997">
        <w:rPr>
          <w:rFonts w:eastAsia="Times New Roman" w:cs="Times New Roman"/>
        </w:rPr>
        <w:t>, 8 vecākiem bāriņtiesa pārtrauca aizgādības tiesības, informējot tiesībaizsardzības iestādes,</w:t>
      </w:r>
      <w:r w:rsidRPr="00C15997">
        <w:rPr>
          <w:rFonts w:eastAsia="Times New Roman" w:cs="Times New Roman"/>
        </w:rPr>
        <w:t xml:space="preserve"> 9 bērni palika bez viena vai abu vecāku gādības. Pārtrauktās aizgādības tiesības atjaunotas 3 mātēm. Pārskata gadā </w:t>
      </w:r>
      <w:r w:rsidR="00A61B0C" w:rsidRPr="00C15997">
        <w:rPr>
          <w:rFonts w:eastAsia="Times New Roman" w:cs="Times New Roman"/>
        </w:rPr>
        <w:t>5</w:t>
      </w:r>
      <w:r w:rsidRPr="00C15997">
        <w:rPr>
          <w:rFonts w:eastAsia="Times New Roman" w:cs="Times New Roman"/>
        </w:rPr>
        <w:t xml:space="preserve"> bērni atgriezās vecāku aizgādībā.</w:t>
      </w:r>
    </w:p>
    <w:p w14:paraId="45F71B00" w14:textId="77777777" w:rsidR="001713EF" w:rsidRPr="00C15997" w:rsidRDefault="001713EF" w:rsidP="003377D7">
      <w:pPr>
        <w:shd w:val="clear" w:color="auto" w:fill="FFFFFF" w:themeFill="background1"/>
        <w:spacing w:after="0" w:line="240" w:lineRule="auto"/>
        <w:ind w:firstLine="720"/>
        <w:jc w:val="both"/>
        <w:rPr>
          <w:rFonts w:eastAsia="Calibri" w:cs="Times New Roman"/>
        </w:rPr>
      </w:pPr>
      <w:r w:rsidRPr="00C15997">
        <w:rPr>
          <w:rFonts w:eastAsia="Calibri" w:cs="Times New Roman"/>
        </w:rPr>
        <w:t>Ja gada laikā no aizgādības tiesību pārtraukšanas nav iespējams tās atjaunot, tad bāriņtiesa lemj par prasības celšanu tiesā aizgādības tiesību atņemšanai, izņemot gadījumu, kad aizgādības tiesības nevar atjaunot no vecāka neatkarīgu apstākļu dēļ.</w:t>
      </w:r>
    </w:p>
    <w:p w14:paraId="33D3BBCC" w14:textId="1C25CCC0" w:rsidR="001713EF" w:rsidRPr="00C15997" w:rsidRDefault="001713EF" w:rsidP="003377D7">
      <w:pPr>
        <w:shd w:val="clear" w:color="auto" w:fill="FFFFFF" w:themeFill="background1"/>
        <w:spacing w:after="0" w:line="240" w:lineRule="auto"/>
        <w:ind w:firstLine="720"/>
        <w:jc w:val="both"/>
        <w:rPr>
          <w:rFonts w:eastAsia="Times New Roman" w:cs="Times New Roman"/>
        </w:rPr>
      </w:pPr>
      <w:r w:rsidRPr="00C15997">
        <w:rPr>
          <w:rFonts w:eastAsia="Times New Roman" w:cs="Times New Roman"/>
        </w:rPr>
        <w:t xml:space="preserve">Par </w:t>
      </w:r>
      <w:r w:rsidR="003377D7" w:rsidRPr="00C15997">
        <w:rPr>
          <w:rFonts w:eastAsia="Times New Roman" w:cs="Times New Roman"/>
        </w:rPr>
        <w:t>6</w:t>
      </w:r>
      <w:r w:rsidRPr="00C15997">
        <w:rPr>
          <w:rFonts w:eastAsia="Times New Roman" w:cs="Times New Roman"/>
        </w:rPr>
        <w:t xml:space="preserve"> vecākiem bāriņtiesa pieņēmusi lēmumu iesniegt prasību tiesā par bērna aizgādības tiesību atņemšanu vecākam. Pēc bāriņtiesas sagatavotajiem un tiesās iesniegtajiem prasību pieteikumiem, ar tiesas spriedumiem 202</w:t>
      </w:r>
      <w:r w:rsidR="003377D7" w:rsidRPr="00C15997">
        <w:rPr>
          <w:rFonts w:eastAsia="Times New Roman" w:cs="Times New Roman"/>
        </w:rPr>
        <w:t>2</w:t>
      </w:r>
      <w:r w:rsidRPr="00C15997">
        <w:rPr>
          <w:rFonts w:eastAsia="Times New Roman" w:cs="Times New Roman"/>
        </w:rPr>
        <w:t xml:space="preserve">. gadā </w:t>
      </w:r>
      <w:r w:rsidR="00CD3F36" w:rsidRPr="00C15997">
        <w:rPr>
          <w:rFonts w:eastAsia="Times New Roman" w:cs="Times New Roman"/>
        </w:rPr>
        <w:t>6</w:t>
      </w:r>
      <w:r w:rsidRPr="00C15997">
        <w:rPr>
          <w:rFonts w:eastAsia="Times New Roman" w:cs="Times New Roman"/>
        </w:rPr>
        <w:t xml:space="preserve"> personām ir atņemtas aizgādības tiesības uz 1</w:t>
      </w:r>
      <w:r w:rsidR="00CD3F36" w:rsidRPr="00C15997">
        <w:rPr>
          <w:rFonts w:eastAsia="Times New Roman" w:cs="Times New Roman"/>
        </w:rPr>
        <w:t xml:space="preserve">0 </w:t>
      </w:r>
      <w:r w:rsidRPr="00C15997">
        <w:rPr>
          <w:rFonts w:eastAsia="Times New Roman" w:cs="Times New Roman"/>
        </w:rPr>
        <w:t>bērniem.</w:t>
      </w:r>
    </w:p>
    <w:p w14:paraId="5CD8510E" w14:textId="5F0D97B0" w:rsidR="001713EF" w:rsidRPr="00C15997" w:rsidRDefault="001713EF" w:rsidP="001713EF">
      <w:pPr>
        <w:spacing w:after="0" w:line="240" w:lineRule="auto"/>
        <w:rPr>
          <w:rFonts w:eastAsia="Times New Roman" w:cs="Times New Roman"/>
          <w:b/>
          <w:sz w:val="16"/>
          <w:szCs w:val="16"/>
          <w:lang w:eastAsia="lv-LV"/>
        </w:rPr>
      </w:pPr>
    </w:p>
    <w:p w14:paraId="34D7C31A" w14:textId="77777777" w:rsidR="001713EF" w:rsidRPr="00C15997" w:rsidRDefault="001713EF" w:rsidP="001713EF">
      <w:pPr>
        <w:spacing w:before="120" w:after="0" w:line="240" w:lineRule="auto"/>
        <w:rPr>
          <w:rFonts w:eastAsia="Times New Roman" w:cs="Times New Roman"/>
          <w:b/>
          <w:szCs w:val="24"/>
          <w:lang w:eastAsia="lv-LV"/>
        </w:rPr>
      </w:pPr>
      <w:proofErr w:type="spellStart"/>
      <w:r w:rsidRPr="00C15997">
        <w:rPr>
          <w:rFonts w:eastAsia="Times New Roman" w:cs="Times New Roman"/>
          <w:b/>
          <w:szCs w:val="24"/>
          <w:lang w:eastAsia="lv-LV"/>
        </w:rPr>
        <w:t>Ārpusģimenes</w:t>
      </w:r>
      <w:proofErr w:type="spellEnd"/>
      <w:r w:rsidRPr="00C15997">
        <w:rPr>
          <w:rFonts w:eastAsia="Times New Roman" w:cs="Times New Roman"/>
          <w:b/>
          <w:szCs w:val="24"/>
          <w:lang w:eastAsia="lv-LV"/>
        </w:rPr>
        <w:t xml:space="preserve"> aprūpe</w:t>
      </w:r>
    </w:p>
    <w:p w14:paraId="54647FA8" w14:textId="2098AE1A"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 xml:space="preserve">Bērnam, kurš palicis bez vecāku gādības, nodrošināma </w:t>
      </w:r>
      <w:proofErr w:type="spellStart"/>
      <w:r w:rsidRPr="00C15997">
        <w:rPr>
          <w:rFonts w:eastAsia="Times New Roman" w:cs="Times New Roman"/>
          <w:szCs w:val="24"/>
          <w:lang w:eastAsia="lv-LV"/>
        </w:rPr>
        <w:t>ārpusģimenes</w:t>
      </w:r>
      <w:proofErr w:type="spellEnd"/>
      <w:r w:rsidRPr="00C15997">
        <w:rPr>
          <w:rFonts w:eastAsia="Times New Roman" w:cs="Times New Roman"/>
          <w:szCs w:val="24"/>
          <w:lang w:eastAsia="lv-LV"/>
        </w:rPr>
        <w:t xml:space="preserve"> aprūpe. Bērna interesēs ir primāri nodrošināt iespēju bērnam augt pie aizbildņa vai audžuģimenē, un tikai tad, ja tas nav iespējams, bērnam tiek nodrošināta </w:t>
      </w:r>
      <w:proofErr w:type="spellStart"/>
      <w:r w:rsidRPr="00C15997">
        <w:rPr>
          <w:rFonts w:eastAsia="Times New Roman" w:cs="Times New Roman"/>
          <w:szCs w:val="24"/>
          <w:lang w:eastAsia="lv-LV"/>
        </w:rPr>
        <w:t>ārpusģimenes</w:t>
      </w:r>
      <w:proofErr w:type="spellEnd"/>
      <w:r w:rsidRPr="00C15997">
        <w:rPr>
          <w:rFonts w:eastAsia="Times New Roman" w:cs="Times New Roman"/>
          <w:szCs w:val="24"/>
          <w:lang w:eastAsia="lv-LV"/>
        </w:rPr>
        <w:t xml:space="preserve"> aprūpe institūcijā. Diemžēl bāriņtiesai joprojām ir problēmas nodrošināt ģimenisku vidi vairākiem vienas ģimenes bērniem, kā arī bērniem pusaudžu vecumā, kuriem ir uzvedības un atkarības problēmas. </w:t>
      </w:r>
    </w:p>
    <w:p w14:paraId="2E822740" w14:textId="6FF7D3EF"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202</w:t>
      </w:r>
      <w:r w:rsidR="003377D7" w:rsidRPr="00C15997">
        <w:rPr>
          <w:rFonts w:eastAsia="Times New Roman" w:cs="Times New Roman"/>
          <w:szCs w:val="24"/>
          <w:lang w:eastAsia="lv-LV"/>
        </w:rPr>
        <w:t>2</w:t>
      </w:r>
      <w:r w:rsidRPr="00C15997">
        <w:rPr>
          <w:rFonts w:eastAsia="Times New Roman" w:cs="Times New Roman"/>
          <w:szCs w:val="24"/>
          <w:lang w:eastAsia="lv-LV"/>
        </w:rPr>
        <w:t xml:space="preserve">. gadā pieņemti lēmumi par </w:t>
      </w:r>
      <w:proofErr w:type="spellStart"/>
      <w:r w:rsidRPr="00C15997">
        <w:rPr>
          <w:rFonts w:eastAsia="Times New Roman" w:cs="Times New Roman"/>
          <w:szCs w:val="24"/>
          <w:lang w:eastAsia="lv-LV"/>
        </w:rPr>
        <w:t>ārpusģimenes</w:t>
      </w:r>
      <w:proofErr w:type="spellEnd"/>
      <w:r w:rsidRPr="00C15997">
        <w:rPr>
          <w:rFonts w:eastAsia="Times New Roman" w:cs="Times New Roman"/>
          <w:szCs w:val="24"/>
          <w:lang w:eastAsia="lv-LV"/>
        </w:rPr>
        <w:t xml:space="preserve"> aprūpes nodrošināšanu </w:t>
      </w:r>
      <w:r w:rsidR="003377D7" w:rsidRPr="00C15997">
        <w:rPr>
          <w:rFonts w:eastAsia="Times New Roman" w:cs="Times New Roman"/>
          <w:szCs w:val="24"/>
          <w:lang w:eastAsia="lv-LV"/>
        </w:rPr>
        <w:t>27</w:t>
      </w:r>
      <w:r w:rsidRPr="00C15997">
        <w:rPr>
          <w:rFonts w:eastAsia="Times New Roman" w:cs="Times New Roman"/>
          <w:szCs w:val="24"/>
          <w:lang w:eastAsia="lv-LV"/>
        </w:rPr>
        <w:t xml:space="preserve"> bērniem (</w:t>
      </w:r>
      <w:r w:rsidR="003377D7" w:rsidRPr="00C15997">
        <w:rPr>
          <w:rFonts w:eastAsia="Times New Roman" w:cs="Times New Roman"/>
          <w:szCs w:val="24"/>
          <w:lang w:eastAsia="lv-LV"/>
        </w:rPr>
        <w:t>19</w:t>
      </w:r>
      <w:r w:rsidRPr="00C15997">
        <w:rPr>
          <w:rFonts w:eastAsia="Times New Roman" w:cs="Times New Roman"/>
          <w:szCs w:val="24"/>
          <w:lang w:eastAsia="lv-LV"/>
        </w:rPr>
        <w:t xml:space="preserve"> bērnu vecākiem tika pārtrauktas aizgādības tiesības, 3 bērnu vecāki veselības problēmu dēļ nespēja parūpēties par bērniem, 3 gadījumos bērna vecāki nebija sasnieguši pilngadību), no tiem lielākais skaits </w:t>
      </w:r>
      <w:r w:rsidR="00820A75" w:rsidRPr="00C15997">
        <w:rPr>
          <w:rFonts w:eastAsia="Times New Roman" w:cs="Times New Roman"/>
          <w:szCs w:val="24"/>
          <w:lang w:eastAsia="lv-LV"/>
        </w:rPr>
        <w:t xml:space="preserve">14 </w:t>
      </w:r>
      <w:r w:rsidRPr="00C15997">
        <w:rPr>
          <w:rFonts w:eastAsia="Times New Roman" w:cs="Times New Roman"/>
          <w:szCs w:val="24"/>
          <w:lang w:eastAsia="lv-LV"/>
        </w:rPr>
        <w:t xml:space="preserve">ievietoti aizbildņa ģimenē, </w:t>
      </w:r>
      <w:r w:rsidR="00820A75" w:rsidRPr="00C15997">
        <w:rPr>
          <w:rFonts w:eastAsia="Times New Roman" w:cs="Times New Roman"/>
          <w:szCs w:val="24"/>
          <w:lang w:eastAsia="lv-LV"/>
        </w:rPr>
        <w:t>8</w:t>
      </w:r>
      <w:r w:rsidRPr="00C15997">
        <w:rPr>
          <w:rFonts w:eastAsia="Times New Roman" w:cs="Times New Roman"/>
          <w:szCs w:val="24"/>
          <w:lang w:eastAsia="lv-LV"/>
        </w:rPr>
        <w:t xml:space="preserve"> - audžuģimenē, </w:t>
      </w:r>
      <w:r w:rsidR="00820A75" w:rsidRPr="00C15997">
        <w:rPr>
          <w:rFonts w:eastAsia="Times New Roman" w:cs="Times New Roman"/>
          <w:szCs w:val="24"/>
          <w:lang w:eastAsia="lv-LV"/>
        </w:rPr>
        <w:t>5</w:t>
      </w:r>
      <w:r w:rsidRPr="00C15997">
        <w:rPr>
          <w:rFonts w:eastAsia="Times New Roman" w:cs="Times New Roman"/>
          <w:szCs w:val="24"/>
          <w:lang w:eastAsia="lv-LV"/>
        </w:rPr>
        <w:t xml:space="preserve"> - institūcijā. </w:t>
      </w:r>
    </w:p>
    <w:p w14:paraId="52288636" w14:textId="47B8302D"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lastRenderedPageBreak/>
        <w:t>Uz 202</w:t>
      </w:r>
      <w:r w:rsidR="00820A75" w:rsidRPr="00C15997">
        <w:rPr>
          <w:rFonts w:eastAsia="Times New Roman" w:cs="Times New Roman"/>
          <w:szCs w:val="24"/>
          <w:lang w:eastAsia="lv-LV"/>
        </w:rPr>
        <w:t>2</w:t>
      </w:r>
      <w:r w:rsidRPr="00C15997">
        <w:rPr>
          <w:rFonts w:eastAsia="Times New Roman" w:cs="Times New Roman"/>
          <w:szCs w:val="24"/>
          <w:lang w:eastAsia="lv-LV"/>
        </w:rPr>
        <w:t xml:space="preserve">. gada 31. decembri </w:t>
      </w:r>
      <w:proofErr w:type="spellStart"/>
      <w:r w:rsidRPr="00C15997">
        <w:rPr>
          <w:rFonts w:eastAsia="Times New Roman" w:cs="Times New Roman"/>
          <w:szCs w:val="24"/>
          <w:lang w:eastAsia="lv-LV"/>
        </w:rPr>
        <w:t>ārpusģimenes</w:t>
      </w:r>
      <w:proofErr w:type="spellEnd"/>
      <w:r w:rsidRPr="00C15997">
        <w:rPr>
          <w:rFonts w:eastAsia="Times New Roman" w:cs="Times New Roman"/>
          <w:szCs w:val="24"/>
          <w:lang w:eastAsia="lv-LV"/>
        </w:rPr>
        <w:t xml:space="preserve"> aprūpē esošo bērnu skaits </w:t>
      </w:r>
      <w:r w:rsidR="00820A75" w:rsidRPr="00C15997">
        <w:rPr>
          <w:rFonts w:eastAsia="Times New Roman" w:cs="Times New Roman"/>
          <w:szCs w:val="24"/>
          <w:lang w:eastAsia="lv-LV"/>
        </w:rPr>
        <w:t>ir</w:t>
      </w:r>
      <w:r w:rsidRPr="00C15997">
        <w:rPr>
          <w:rFonts w:eastAsia="Times New Roman" w:cs="Times New Roman"/>
          <w:szCs w:val="24"/>
          <w:lang w:eastAsia="lv-LV"/>
        </w:rPr>
        <w:t xml:space="preserve"> - </w:t>
      </w:r>
      <w:r w:rsidR="00820A75" w:rsidRPr="00C15997">
        <w:rPr>
          <w:rFonts w:eastAsia="Times New Roman" w:cs="Times New Roman"/>
          <w:szCs w:val="24"/>
          <w:lang w:eastAsia="lv-LV"/>
        </w:rPr>
        <w:t>144</w:t>
      </w:r>
      <w:r w:rsidRPr="00C15997">
        <w:rPr>
          <w:rFonts w:eastAsia="Times New Roman" w:cs="Times New Roman"/>
          <w:szCs w:val="24"/>
          <w:lang w:eastAsia="lv-LV"/>
        </w:rPr>
        <w:t xml:space="preserve">, no tiem </w:t>
      </w:r>
      <w:r w:rsidR="00820A75" w:rsidRPr="00C15997">
        <w:rPr>
          <w:rFonts w:eastAsia="Times New Roman" w:cs="Times New Roman"/>
          <w:szCs w:val="24"/>
          <w:lang w:eastAsia="lv-LV"/>
        </w:rPr>
        <w:t>23</w:t>
      </w:r>
      <w:r w:rsidRPr="00C15997">
        <w:rPr>
          <w:rFonts w:eastAsia="Times New Roman" w:cs="Times New Roman"/>
          <w:szCs w:val="24"/>
          <w:lang w:eastAsia="lv-LV"/>
        </w:rPr>
        <w:t xml:space="preserve"> (15 %) bērni audžuģimenēs, </w:t>
      </w:r>
      <w:r w:rsidR="00820A75" w:rsidRPr="00C15997">
        <w:rPr>
          <w:rFonts w:eastAsia="Times New Roman" w:cs="Times New Roman"/>
          <w:szCs w:val="24"/>
          <w:lang w:eastAsia="lv-LV"/>
        </w:rPr>
        <w:t>19</w:t>
      </w:r>
      <w:r w:rsidRPr="00C15997">
        <w:rPr>
          <w:rFonts w:eastAsia="Times New Roman" w:cs="Times New Roman"/>
          <w:szCs w:val="24"/>
          <w:lang w:eastAsia="lv-LV"/>
        </w:rPr>
        <w:t xml:space="preserve"> (</w:t>
      </w:r>
      <w:r w:rsidR="00820A75" w:rsidRPr="00C15997">
        <w:rPr>
          <w:rFonts w:eastAsia="Times New Roman" w:cs="Times New Roman"/>
          <w:szCs w:val="24"/>
          <w:lang w:eastAsia="lv-LV"/>
        </w:rPr>
        <w:t xml:space="preserve">13 </w:t>
      </w:r>
      <w:r w:rsidRPr="00C15997">
        <w:rPr>
          <w:rFonts w:eastAsia="Times New Roman" w:cs="Times New Roman"/>
          <w:szCs w:val="24"/>
          <w:lang w:eastAsia="lv-LV"/>
        </w:rPr>
        <w:t xml:space="preserve">%) bērni institūcijā un </w:t>
      </w:r>
      <w:r w:rsidR="00820A75" w:rsidRPr="00C15997">
        <w:rPr>
          <w:rFonts w:eastAsia="Times New Roman" w:cs="Times New Roman"/>
          <w:szCs w:val="24"/>
          <w:lang w:eastAsia="lv-LV"/>
        </w:rPr>
        <w:t>102</w:t>
      </w:r>
      <w:r w:rsidRPr="00C15997">
        <w:rPr>
          <w:rFonts w:eastAsia="Times New Roman" w:cs="Times New Roman"/>
          <w:szCs w:val="24"/>
          <w:lang w:eastAsia="lv-LV"/>
        </w:rPr>
        <w:t xml:space="preserve"> bērns jeb proporcionāli lielākais skaits (</w:t>
      </w:r>
      <w:r w:rsidR="00820A75" w:rsidRPr="00C15997">
        <w:rPr>
          <w:rFonts w:eastAsia="Times New Roman" w:cs="Times New Roman"/>
          <w:szCs w:val="24"/>
          <w:lang w:eastAsia="lv-LV"/>
        </w:rPr>
        <w:t>72</w:t>
      </w:r>
      <w:r w:rsidR="00820A75" w:rsidRPr="00C15997">
        <w:rPr>
          <w:rFonts w:eastAsia="Times New Roman" w:cs="Times New Roman"/>
          <w:b/>
          <w:bCs/>
          <w:szCs w:val="24"/>
          <w:lang w:eastAsia="lv-LV"/>
        </w:rPr>
        <w:t xml:space="preserve"> </w:t>
      </w:r>
      <w:r w:rsidRPr="00C15997">
        <w:rPr>
          <w:rFonts w:eastAsia="Times New Roman" w:cs="Times New Roman"/>
          <w:szCs w:val="24"/>
          <w:lang w:eastAsia="lv-LV"/>
        </w:rPr>
        <w:t>%) atradās aizbildņa ģimenēs.</w:t>
      </w:r>
    </w:p>
    <w:p w14:paraId="77B195CA" w14:textId="4C82B371" w:rsidR="001713EF" w:rsidRPr="00C15997" w:rsidRDefault="001713EF" w:rsidP="001713EF">
      <w:pPr>
        <w:spacing w:after="0" w:line="240" w:lineRule="auto"/>
        <w:ind w:firstLine="720"/>
        <w:jc w:val="both"/>
        <w:rPr>
          <w:rFonts w:eastAsia="Calibri" w:cs="Times New Roman"/>
          <w:szCs w:val="24"/>
        </w:rPr>
      </w:pPr>
      <w:r w:rsidRPr="00C15997">
        <w:rPr>
          <w:rFonts w:eastAsia="Calibri" w:cs="Times New Roman"/>
          <w:szCs w:val="24"/>
        </w:rPr>
        <w:t xml:space="preserve">Aizbildnis aizvieto saviem aizbilstamajiem vecākus, kā arī pārstāv bērnu personiskajās un mantiskajās attiecībās. Pārskata periodā kopējais aizbildņu skaits ir </w:t>
      </w:r>
      <w:r w:rsidR="00120CC7" w:rsidRPr="00C15997">
        <w:rPr>
          <w:rFonts w:eastAsia="Calibri" w:cs="Times New Roman"/>
          <w:szCs w:val="24"/>
        </w:rPr>
        <w:t>73</w:t>
      </w:r>
      <w:r w:rsidRPr="00C15997">
        <w:rPr>
          <w:rFonts w:eastAsia="Calibri" w:cs="Times New Roman"/>
          <w:szCs w:val="24"/>
        </w:rPr>
        <w:t xml:space="preserve">, no kuriem </w:t>
      </w:r>
      <w:r w:rsidR="00120CC7" w:rsidRPr="00C15997">
        <w:rPr>
          <w:rFonts w:eastAsia="Calibri" w:cs="Times New Roman"/>
          <w:szCs w:val="24"/>
        </w:rPr>
        <w:t>29</w:t>
      </w:r>
      <w:r w:rsidRPr="00C15997">
        <w:rPr>
          <w:rFonts w:eastAsia="Calibri" w:cs="Times New Roman"/>
          <w:szCs w:val="24"/>
        </w:rPr>
        <w:t xml:space="preserve"> ir vecvecāki, </w:t>
      </w:r>
      <w:r w:rsidR="00120CC7" w:rsidRPr="00C15997">
        <w:rPr>
          <w:rFonts w:eastAsia="Calibri" w:cs="Times New Roman"/>
          <w:szCs w:val="24"/>
        </w:rPr>
        <w:t>16</w:t>
      </w:r>
      <w:r w:rsidRPr="00C15997">
        <w:rPr>
          <w:rFonts w:eastAsia="Calibri" w:cs="Times New Roman"/>
          <w:szCs w:val="24"/>
        </w:rPr>
        <w:t xml:space="preserve"> citi radinieki, bet </w:t>
      </w:r>
      <w:r w:rsidR="009178D3" w:rsidRPr="00C15997">
        <w:rPr>
          <w:rFonts w:eastAsia="Calibri" w:cs="Times New Roman"/>
          <w:szCs w:val="24"/>
        </w:rPr>
        <w:t>2</w:t>
      </w:r>
      <w:r w:rsidR="00120CC7" w:rsidRPr="00C15997">
        <w:rPr>
          <w:rFonts w:eastAsia="Calibri" w:cs="Times New Roman"/>
          <w:szCs w:val="24"/>
        </w:rPr>
        <w:t>8</w:t>
      </w:r>
      <w:r w:rsidRPr="00C15997">
        <w:rPr>
          <w:rFonts w:eastAsia="Calibri" w:cs="Times New Roman"/>
          <w:szCs w:val="24"/>
        </w:rPr>
        <w:t xml:space="preserve"> citas personas. </w:t>
      </w:r>
    </w:p>
    <w:p w14:paraId="07DC5362" w14:textId="47ED8098" w:rsidR="001713EF" w:rsidRPr="00C15997" w:rsidRDefault="001713EF" w:rsidP="009178D3">
      <w:pPr>
        <w:spacing w:after="0" w:line="240" w:lineRule="auto"/>
        <w:ind w:firstLine="720"/>
        <w:jc w:val="both"/>
        <w:rPr>
          <w:rFonts w:eastAsia="Calibri" w:cs="Times New Roman"/>
          <w:szCs w:val="24"/>
        </w:rPr>
      </w:pPr>
      <w:r w:rsidRPr="00C15997">
        <w:rPr>
          <w:rFonts w:eastAsia="Calibri" w:cs="Times New Roman"/>
          <w:szCs w:val="24"/>
        </w:rPr>
        <w:t>Uz 202</w:t>
      </w:r>
      <w:r w:rsidR="009178D3" w:rsidRPr="00C15997">
        <w:rPr>
          <w:rFonts w:eastAsia="Calibri" w:cs="Times New Roman"/>
          <w:szCs w:val="24"/>
        </w:rPr>
        <w:t>2</w:t>
      </w:r>
      <w:r w:rsidRPr="00C15997">
        <w:rPr>
          <w:rFonts w:eastAsia="Calibri" w:cs="Times New Roman"/>
          <w:szCs w:val="24"/>
        </w:rPr>
        <w:t xml:space="preserve">. gada 31. decembri Dobeles novadā ir </w:t>
      </w:r>
      <w:r w:rsidR="0003137D" w:rsidRPr="00C15997">
        <w:rPr>
          <w:rFonts w:eastAsia="Calibri" w:cs="Times New Roman"/>
          <w:szCs w:val="24"/>
        </w:rPr>
        <w:t>9</w:t>
      </w:r>
      <w:r w:rsidRPr="00C15997">
        <w:rPr>
          <w:rFonts w:eastAsia="Calibri" w:cs="Times New Roman"/>
          <w:szCs w:val="24"/>
        </w:rPr>
        <w:t xml:space="preserve"> audžuģimenes.</w:t>
      </w:r>
    </w:p>
    <w:p w14:paraId="2A77837C" w14:textId="77777777" w:rsidR="001713EF" w:rsidRPr="00C15997" w:rsidRDefault="001713EF" w:rsidP="001713EF">
      <w:pPr>
        <w:spacing w:after="0" w:line="240" w:lineRule="auto"/>
        <w:ind w:firstLine="720"/>
        <w:jc w:val="both"/>
        <w:rPr>
          <w:rFonts w:eastAsia="Times New Roman" w:cs="Times New Roman"/>
          <w:szCs w:val="24"/>
          <w:lang w:eastAsia="lv-LV"/>
        </w:rPr>
      </w:pPr>
    </w:p>
    <w:p w14:paraId="45FBFE51" w14:textId="2E3B5A6B"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202</w:t>
      </w:r>
      <w:r w:rsidR="00CD3F36" w:rsidRPr="00C15997">
        <w:rPr>
          <w:rFonts w:eastAsia="Times New Roman" w:cs="Times New Roman"/>
          <w:szCs w:val="24"/>
          <w:lang w:eastAsia="lv-LV"/>
        </w:rPr>
        <w:t>2</w:t>
      </w:r>
      <w:r w:rsidRPr="00C15997">
        <w:rPr>
          <w:rFonts w:eastAsia="Times New Roman" w:cs="Times New Roman"/>
          <w:szCs w:val="24"/>
          <w:lang w:eastAsia="lv-LV"/>
        </w:rPr>
        <w:t xml:space="preserve">. gadā </w:t>
      </w:r>
      <w:proofErr w:type="spellStart"/>
      <w:r w:rsidRPr="00C15997">
        <w:rPr>
          <w:rFonts w:eastAsia="Times New Roman" w:cs="Times New Roman"/>
          <w:szCs w:val="24"/>
          <w:lang w:eastAsia="lv-LV"/>
        </w:rPr>
        <w:t>ārpusģimenes</w:t>
      </w:r>
      <w:proofErr w:type="spellEnd"/>
      <w:r w:rsidRPr="00C15997">
        <w:rPr>
          <w:rFonts w:eastAsia="Times New Roman" w:cs="Times New Roman"/>
          <w:szCs w:val="24"/>
          <w:lang w:eastAsia="lv-LV"/>
        </w:rPr>
        <w:t xml:space="preserve"> aprūpe beigusies </w:t>
      </w:r>
      <w:r w:rsidR="006D1DD6" w:rsidRPr="00C15997">
        <w:rPr>
          <w:rFonts w:eastAsia="Times New Roman" w:cs="Times New Roman"/>
          <w:szCs w:val="24"/>
          <w:lang w:eastAsia="lv-LV"/>
        </w:rPr>
        <w:t>3</w:t>
      </w:r>
      <w:r w:rsidRPr="00C15997">
        <w:rPr>
          <w:rFonts w:eastAsia="Times New Roman" w:cs="Times New Roman"/>
          <w:szCs w:val="24"/>
          <w:lang w:eastAsia="lv-LV"/>
        </w:rPr>
        <w:t xml:space="preserve"> bērniem, no</w:t>
      </w:r>
      <w:r w:rsidR="006D1DD6" w:rsidRPr="00C15997">
        <w:rPr>
          <w:rFonts w:eastAsia="Times New Roman" w:cs="Times New Roman"/>
          <w:szCs w:val="24"/>
          <w:lang w:eastAsia="lv-LV"/>
        </w:rPr>
        <w:t xml:space="preserve"> </w:t>
      </w:r>
      <w:r w:rsidRPr="00C15997">
        <w:rPr>
          <w:rFonts w:eastAsia="Times New Roman" w:cs="Times New Roman"/>
          <w:szCs w:val="24"/>
          <w:lang w:eastAsia="lv-LV"/>
        </w:rPr>
        <w:t xml:space="preserve">tiem </w:t>
      </w:r>
      <w:r w:rsidR="006D1DD6" w:rsidRPr="00C15997">
        <w:rPr>
          <w:rFonts w:eastAsia="Times New Roman" w:cs="Times New Roman"/>
          <w:szCs w:val="24"/>
          <w:lang w:eastAsia="lv-LV"/>
        </w:rPr>
        <w:t xml:space="preserve">1 </w:t>
      </w:r>
      <w:r w:rsidRPr="00C15997">
        <w:rPr>
          <w:rFonts w:eastAsia="Times New Roman" w:cs="Times New Roman"/>
          <w:szCs w:val="24"/>
          <w:lang w:eastAsia="lv-LV"/>
        </w:rPr>
        <w:t xml:space="preserve">bērniem sasniedzot pilngadību </w:t>
      </w:r>
      <w:r w:rsidR="006D1DD6" w:rsidRPr="00C15997">
        <w:rPr>
          <w:rFonts w:eastAsia="Times New Roman" w:cs="Times New Roman"/>
          <w:szCs w:val="24"/>
          <w:lang w:eastAsia="lv-LV"/>
        </w:rPr>
        <w:t>(1</w:t>
      </w:r>
      <w:r w:rsidRPr="00C15997">
        <w:rPr>
          <w:rFonts w:eastAsia="Times New Roman" w:cs="Times New Roman"/>
          <w:szCs w:val="24"/>
          <w:lang w:eastAsia="lv-LV"/>
        </w:rPr>
        <w:t xml:space="preserve"> – institūcijā), 2 bērni atgriezušies savu vecāku aprūpē, jo bērna vecāks sasniedzis pilngadību.</w:t>
      </w:r>
    </w:p>
    <w:p w14:paraId="2AA2FC26" w14:textId="77777777"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 xml:space="preserve">Par 14 bērniem bāriņtiesa lēmusi par atļaujas došanu uzturēties savu vecāku ģimenēs. </w:t>
      </w:r>
    </w:p>
    <w:p w14:paraId="49B00C8E" w14:textId="77777777" w:rsidR="001713EF" w:rsidRPr="00C15997" w:rsidRDefault="001713EF" w:rsidP="001713EF">
      <w:pPr>
        <w:spacing w:before="120" w:after="0" w:line="240" w:lineRule="auto"/>
        <w:jc w:val="both"/>
        <w:rPr>
          <w:rFonts w:eastAsia="Times New Roman" w:cs="Times New Roman"/>
          <w:b/>
          <w:szCs w:val="24"/>
          <w:lang w:eastAsia="lv-LV"/>
        </w:rPr>
      </w:pPr>
      <w:r w:rsidRPr="00C15997">
        <w:rPr>
          <w:rFonts w:eastAsia="Times New Roman" w:cs="Times New Roman"/>
          <w:b/>
          <w:szCs w:val="24"/>
          <w:lang w:eastAsia="lv-LV"/>
        </w:rPr>
        <w:t>Par dalību tiesas sēdēs</w:t>
      </w:r>
    </w:p>
    <w:p w14:paraId="01DE79C2" w14:textId="27617F7A"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 xml:space="preserve">Pārskata gadā bāriņtiesas darbinieki piedalījušies </w:t>
      </w:r>
      <w:r w:rsidR="00BC20BC" w:rsidRPr="00C15997">
        <w:rPr>
          <w:rFonts w:eastAsia="Times New Roman" w:cs="Times New Roman"/>
          <w:szCs w:val="24"/>
          <w:lang w:eastAsia="lv-LV"/>
        </w:rPr>
        <w:t>45</w:t>
      </w:r>
      <w:r w:rsidRPr="00C15997">
        <w:rPr>
          <w:rFonts w:eastAsia="Times New Roman" w:cs="Times New Roman"/>
          <w:szCs w:val="24"/>
          <w:lang w:eastAsia="lv-LV"/>
        </w:rPr>
        <w:t xml:space="preserve"> ties</w:t>
      </w:r>
      <w:r w:rsidR="00BC20BC" w:rsidRPr="00C15997">
        <w:rPr>
          <w:rFonts w:eastAsia="Times New Roman" w:cs="Times New Roman"/>
          <w:szCs w:val="24"/>
          <w:lang w:eastAsia="lv-LV"/>
        </w:rPr>
        <w:t>as</w:t>
      </w:r>
      <w:r w:rsidRPr="00C15997">
        <w:rPr>
          <w:rFonts w:eastAsia="Times New Roman" w:cs="Times New Roman"/>
          <w:szCs w:val="24"/>
          <w:lang w:eastAsia="lv-LV"/>
        </w:rPr>
        <w:t xml:space="preserve"> sēdēs dažādās rajona tiesās un apgabaltiesās. Bāriņtiesa procesos bijusi gan prasītājs, gan tiesas pieaicināta iestāde viedokļa un atzinuma sniegšanai. Bāriņtiesa pārstāvēta lietās par saskarsmes tiesību izmantošanas kārtības noteikšanu, atsevišķas aizgādības noteikšanu, bērna dzīvesvietas noteikšanu, aizgādības tiesību atņemšanu, aizgādnības dibināšanai un rīcībspēju ierobežošanai pilngadīgai personai, adopcijas lietās, lietās par audzinoša rakstura piespiedu līdzekļu piemērošanu bērniem. Kriminālprocesa likumā noteiktajos gadījumos bāriņtiesa pārstāvējusi bērnu un aizgādnībā esošo personu kriminālprocesā. Darbietilpīga un sarežģīta ir bāriņtiesas darbības sfēra atzinumu sniegšanā pēc tiesas pieprasījuma lietās par atsevišķas aizgādības noteikšanu vienam no vecākiem, bērna dzīvesvietas un saskarsmes tiesību izmantošanas kārtības noteikšanu. 202</w:t>
      </w:r>
      <w:r w:rsidR="00BC20BC" w:rsidRPr="00C15997">
        <w:rPr>
          <w:rFonts w:eastAsia="Times New Roman" w:cs="Times New Roman"/>
          <w:szCs w:val="24"/>
          <w:lang w:eastAsia="lv-LV"/>
        </w:rPr>
        <w:t>2</w:t>
      </w:r>
      <w:r w:rsidRPr="00C15997">
        <w:rPr>
          <w:rFonts w:eastAsia="Times New Roman" w:cs="Times New Roman"/>
          <w:szCs w:val="24"/>
          <w:lang w:eastAsia="lv-LV"/>
        </w:rPr>
        <w:t>. gadā bāriņtiesa šajās lietās sniegusi 1</w:t>
      </w:r>
      <w:r w:rsidR="00BC20BC" w:rsidRPr="00C15997">
        <w:rPr>
          <w:rFonts w:eastAsia="Times New Roman" w:cs="Times New Roman"/>
          <w:szCs w:val="24"/>
          <w:lang w:eastAsia="lv-LV"/>
        </w:rPr>
        <w:t>4</w:t>
      </w:r>
      <w:r w:rsidRPr="00C15997">
        <w:rPr>
          <w:rFonts w:eastAsia="Times New Roman" w:cs="Times New Roman"/>
          <w:szCs w:val="24"/>
          <w:lang w:eastAsia="lv-LV"/>
        </w:rPr>
        <w:t xml:space="preserve"> atzinumus.</w:t>
      </w:r>
    </w:p>
    <w:p w14:paraId="4EF1B69B" w14:textId="77777777" w:rsidR="001713EF" w:rsidRPr="00C15997" w:rsidRDefault="001713EF" w:rsidP="001713EF">
      <w:pPr>
        <w:spacing w:before="120" w:after="0" w:line="240" w:lineRule="auto"/>
        <w:jc w:val="both"/>
        <w:rPr>
          <w:rFonts w:eastAsia="Times New Roman" w:cs="Times New Roman"/>
          <w:b/>
          <w:sz w:val="16"/>
          <w:szCs w:val="16"/>
          <w:lang w:eastAsia="lv-LV"/>
        </w:rPr>
      </w:pPr>
      <w:r w:rsidRPr="00C15997">
        <w:rPr>
          <w:rFonts w:eastAsia="Times New Roman" w:cs="Times New Roman"/>
          <w:b/>
          <w:szCs w:val="24"/>
          <w:lang w:eastAsia="lv-LV"/>
        </w:rPr>
        <w:t>Nepilngadīgo mantu lietu pārraudzība</w:t>
      </w:r>
    </w:p>
    <w:p w14:paraId="29F73BD1" w14:textId="135FFF2D" w:rsidR="001713EF" w:rsidRPr="00C15997" w:rsidRDefault="001713EF" w:rsidP="00E127AE">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Nepilngadīgiem bērniem var piederēt manta, ko dāvinājuši vai atstājuši mantojumā vecāki, vecvecāki vai citi radinieki. Saskaņā ar Civillikuma normām, vecāki bērnu vārdā bez bāriņtiesas atļaujas nevar mantojumu un/vai dāvinājumu pieņemt vai atraidīt, kā arī rīkoties ar bērna mantu. Bāriņtiesa veic bērna mantisko tiesību ievērošanas pārbaudi, katru gadu pieprasot no bērna vecāka vai aizbildņa norēķinu par bērna mantas pārvaldību, pārbauda norēķina pareizību, pieprasot informāciju no kredītiestādēm, pašvaldības, valsts un citiem uzņēmumiem un iestādēm, kā arī veic bērnam piederošā nekustamā īpašuma apsekošanu. 202</w:t>
      </w:r>
      <w:r w:rsidR="00D21FA5" w:rsidRPr="00C15997">
        <w:rPr>
          <w:rFonts w:eastAsia="Times New Roman" w:cs="Times New Roman"/>
          <w:szCs w:val="24"/>
          <w:lang w:eastAsia="lv-LV"/>
        </w:rPr>
        <w:t>2</w:t>
      </w:r>
      <w:r w:rsidRPr="00C15997">
        <w:rPr>
          <w:rFonts w:eastAsia="Times New Roman" w:cs="Times New Roman"/>
          <w:szCs w:val="24"/>
          <w:lang w:eastAsia="lv-LV"/>
        </w:rPr>
        <w:t xml:space="preserve">. gada 31. decembrī bāriņtiesas pārraudzībā bija </w:t>
      </w:r>
      <w:r w:rsidR="00E127AE" w:rsidRPr="00C15997">
        <w:rPr>
          <w:rFonts w:eastAsia="Times New Roman" w:cs="Times New Roman"/>
          <w:szCs w:val="24"/>
          <w:lang w:eastAsia="lv-LV"/>
        </w:rPr>
        <w:t>49</w:t>
      </w:r>
      <w:r w:rsidRPr="00C15997">
        <w:rPr>
          <w:rFonts w:eastAsia="Times New Roman" w:cs="Times New Roman"/>
          <w:szCs w:val="24"/>
          <w:lang w:eastAsia="lv-LV"/>
        </w:rPr>
        <w:t xml:space="preserve"> aktīvas lietas par bērna mantas pārraudzību. Pārskata gadā pieņemti </w:t>
      </w:r>
      <w:r w:rsidR="00FB70A9" w:rsidRPr="00C15997">
        <w:rPr>
          <w:rFonts w:eastAsia="Times New Roman" w:cs="Times New Roman"/>
          <w:szCs w:val="24"/>
          <w:lang w:eastAsia="lv-LV"/>
        </w:rPr>
        <w:t>21</w:t>
      </w:r>
      <w:r w:rsidRPr="00C15997">
        <w:rPr>
          <w:rFonts w:eastAsia="Times New Roman" w:cs="Times New Roman"/>
          <w:szCs w:val="24"/>
          <w:lang w:eastAsia="lv-LV"/>
        </w:rPr>
        <w:t xml:space="preserve"> lēmum</w:t>
      </w:r>
      <w:r w:rsidR="00FB70A9" w:rsidRPr="00C15997">
        <w:rPr>
          <w:rFonts w:eastAsia="Times New Roman" w:cs="Times New Roman"/>
          <w:szCs w:val="24"/>
          <w:lang w:eastAsia="lv-LV"/>
        </w:rPr>
        <w:t>s</w:t>
      </w:r>
      <w:r w:rsidRPr="00C15997">
        <w:rPr>
          <w:rFonts w:eastAsia="Times New Roman" w:cs="Times New Roman"/>
          <w:szCs w:val="24"/>
          <w:lang w:eastAsia="lv-LV"/>
        </w:rPr>
        <w:t xml:space="preserve"> par bērna mantas pārraudzību, ar tiem </w:t>
      </w:r>
      <w:r w:rsidR="006D1DD6" w:rsidRPr="00C15997">
        <w:rPr>
          <w:rFonts w:eastAsia="Times New Roman" w:cs="Times New Roman"/>
          <w:szCs w:val="24"/>
          <w:lang w:eastAsia="lv-LV"/>
        </w:rPr>
        <w:t>11</w:t>
      </w:r>
      <w:r w:rsidRPr="00C15997">
        <w:rPr>
          <w:rFonts w:eastAsia="Times New Roman" w:cs="Times New Roman"/>
          <w:szCs w:val="24"/>
          <w:lang w:eastAsia="lv-LV"/>
        </w:rPr>
        <w:t xml:space="preserve"> lietās dota atļauja pieņemt dāvinājumu, </w:t>
      </w:r>
      <w:r w:rsidR="00BC20BC" w:rsidRPr="00C15997">
        <w:rPr>
          <w:rFonts w:eastAsia="Times New Roman" w:cs="Times New Roman"/>
          <w:szCs w:val="24"/>
          <w:lang w:eastAsia="lv-LV"/>
        </w:rPr>
        <w:t>7</w:t>
      </w:r>
      <w:r w:rsidRPr="00C15997">
        <w:rPr>
          <w:rFonts w:eastAsia="Times New Roman" w:cs="Times New Roman"/>
          <w:szCs w:val="24"/>
          <w:lang w:eastAsia="lv-LV"/>
        </w:rPr>
        <w:t xml:space="preserve"> - pieņemt mantojumu, 1 - pārdot bērnam piederošo mantu, </w:t>
      </w:r>
      <w:r w:rsidR="00BC20BC" w:rsidRPr="00C15997">
        <w:rPr>
          <w:rFonts w:eastAsia="Times New Roman" w:cs="Times New Roman"/>
          <w:szCs w:val="24"/>
          <w:lang w:eastAsia="lv-LV"/>
        </w:rPr>
        <w:t>2</w:t>
      </w:r>
      <w:r w:rsidRPr="00C15997">
        <w:rPr>
          <w:rFonts w:eastAsia="Times New Roman" w:cs="Times New Roman"/>
          <w:szCs w:val="24"/>
          <w:lang w:eastAsia="lv-LV"/>
        </w:rPr>
        <w:t xml:space="preserve"> - izņemt naudas līdzekļus no bērna konta.</w:t>
      </w:r>
    </w:p>
    <w:p w14:paraId="0CBE93CD" w14:textId="77777777" w:rsidR="001713EF" w:rsidRPr="00C15997" w:rsidRDefault="001713EF" w:rsidP="001713EF">
      <w:pPr>
        <w:spacing w:before="120" w:after="0" w:line="240" w:lineRule="auto"/>
        <w:jc w:val="both"/>
        <w:rPr>
          <w:rFonts w:eastAsia="Times New Roman" w:cs="Times New Roman"/>
          <w:b/>
          <w:szCs w:val="24"/>
          <w:lang w:eastAsia="lv-LV"/>
        </w:rPr>
      </w:pPr>
      <w:r w:rsidRPr="00C15997">
        <w:rPr>
          <w:rFonts w:eastAsia="Times New Roman" w:cs="Times New Roman"/>
          <w:b/>
          <w:szCs w:val="24"/>
          <w:lang w:eastAsia="lv-LV"/>
        </w:rPr>
        <w:t>Aizgādnības lietas</w:t>
      </w:r>
    </w:p>
    <w:p w14:paraId="0638CEE8" w14:textId="77777777"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Aizgādnību nodibina pilngadīgai personai, kurai ar tiesas spriedumu ierobežota rīcībspēja. Aizgādnība ir personu ar ierobežotu rīcībspēju personīgo un mantisko interešu, kā arī mantojuma aizsardzības forma. Bāriņtiesa uzrauga aizgādnībā esošo tiesību un interešu ievērošanu, pieprasot no aizgādņiem norēķinus, pārbaudot tos, kā arī veicot šo personu dzīves apstākļu pārbaudes.</w:t>
      </w:r>
    </w:p>
    <w:p w14:paraId="4C664CEF" w14:textId="5392DCD3"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Uz 202</w:t>
      </w:r>
      <w:r w:rsidR="0003137D" w:rsidRPr="00C15997">
        <w:rPr>
          <w:rFonts w:eastAsia="Times New Roman" w:cs="Times New Roman"/>
          <w:szCs w:val="24"/>
          <w:lang w:eastAsia="lv-LV"/>
        </w:rPr>
        <w:t>2</w:t>
      </w:r>
      <w:r w:rsidRPr="00C15997">
        <w:rPr>
          <w:rFonts w:eastAsia="Times New Roman" w:cs="Times New Roman"/>
          <w:szCs w:val="24"/>
          <w:lang w:eastAsia="lv-LV"/>
        </w:rPr>
        <w:t xml:space="preserve">. gada 31. decembri aktīvas ir </w:t>
      </w:r>
      <w:r w:rsidR="009A70A4" w:rsidRPr="00C15997">
        <w:rPr>
          <w:rFonts w:eastAsia="Times New Roman" w:cs="Times New Roman"/>
          <w:szCs w:val="24"/>
          <w:lang w:eastAsia="lv-LV"/>
        </w:rPr>
        <w:t>79</w:t>
      </w:r>
      <w:r w:rsidRPr="00C15997">
        <w:rPr>
          <w:rFonts w:eastAsia="Times New Roman" w:cs="Times New Roman"/>
          <w:szCs w:val="24"/>
          <w:lang w:eastAsia="lv-LV"/>
        </w:rPr>
        <w:t xml:space="preserve"> lietas par aizgādņa iecelšanu personai ar ierobežotu rīcībspēju. </w:t>
      </w:r>
      <w:r w:rsidR="0024311C" w:rsidRPr="00C15997">
        <w:rPr>
          <w:rFonts w:eastAsia="Times New Roman" w:cs="Times New Roman"/>
          <w:szCs w:val="24"/>
          <w:lang w:eastAsia="lv-LV"/>
        </w:rPr>
        <w:t>58</w:t>
      </w:r>
      <w:r w:rsidRPr="00C15997">
        <w:rPr>
          <w:rFonts w:eastAsia="Times New Roman" w:cs="Times New Roman"/>
          <w:szCs w:val="24"/>
          <w:lang w:eastAsia="lv-LV"/>
        </w:rPr>
        <w:t xml:space="preserve"> personas, kurām tiesa nodibinājusi aizgādnību, dzīvo ģimenē, 2</w:t>
      </w:r>
      <w:r w:rsidR="0024311C" w:rsidRPr="00C15997">
        <w:rPr>
          <w:rFonts w:eastAsia="Times New Roman" w:cs="Times New Roman"/>
          <w:szCs w:val="24"/>
          <w:lang w:eastAsia="lv-LV"/>
        </w:rPr>
        <w:t>1</w:t>
      </w:r>
      <w:r w:rsidRPr="00C15997">
        <w:rPr>
          <w:rFonts w:eastAsia="Times New Roman" w:cs="Times New Roman"/>
          <w:szCs w:val="24"/>
          <w:lang w:eastAsia="lv-LV"/>
        </w:rPr>
        <w:t xml:space="preserve"> personas institūcijā.</w:t>
      </w:r>
    </w:p>
    <w:p w14:paraId="0BA23E93" w14:textId="1A501C66"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Pārskata periodā 1</w:t>
      </w:r>
      <w:r w:rsidR="0024311C" w:rsidRPr="00C15997">
        <w:rPr>
          <w:rFonts w:eastAsia="Times New Roman" w:cs="Times New Roman"/>
          <w:szCs w:val="24"/>
          <w:lang w:eastAsia="lv-LV"/>
        </w:rPr>
        <w:t>1</w:t>
      </w:r>
      <w:r w:rsidRPr="00C15997">
        <w:rPr>
          <w:rFonts w:eastAsia="Times New Roman" w:cs="Times New Roman"/>
          <w:szCs w:val="24"/>
          <w:lang w:eastAsia="lv-LV"/>
        </w:rPr>
        <w:t xml:space="preserve"> person</w:t>
      </w:r>
      <w:r w:rsidR="00114F70" w:rsidRPr="00C15997">
        <w:rPr>
          <w:rFonts w:eastAsia="Times New Roman" w:cs="Times New Roman"/>
          <w:szCs w:val="24"/>
          <w:lang w:eastAsia="lv-LV"/>
        </w:rPr>
        <w:t>ām</w:t>
      </w:r>
      <w:r w:rsidRPr="00C15997">
        <w:rPr>
          <w:rFonts w:eastAsia="Times New Roman" w:cs="Times New Roman"/>
          <w:szCs w:val="24"/>
          <w:lang w:eastAsia="lv-LV"/>
        </w:rPr>
        <w:t xml:space="preserve"> iecelts aizgādnis,</w:t>
      </w:r>
      <w:r w:rsidR="00533D30" w:rsidRPr="00C15997">
        <w:rPr>
          <w:rFonts w:eastAsia="Times New Roman" w:cs="Times New Roman"/>
          <w:szCs w:val="24"/>
          <w:lang w:eastAsia="lv-LV"/>
        </w:rPr>
        <w:t xml:space="preserve"> 1 personai piešķirts sevišķais aizgādnis,</w:t>
      </w:r>
      <w:r w:rsidRPr="00C15997">
        <w:rPr>
          <w:rFonts w:eastAsia="Times New Roman" w:cs="Times New Roman"/>
          <w:szCs w:val="24"/>
          <w:lang w:eastAsia="lv-LV"/>
        </w:rPr>
        <w:t xml:space="preserve"> 6 personām notikusi aizgādņa maiņa, savukārt </w:t>
      </w:r>
      <w:r w:rsidR="0024311C" w:rsidRPr="00C15997">
        <w:rPr>
          <w:rFonts w:eastAsia="Times New Roman" w:cs="Times New Roman"/>
          <w:szCs w:val="24"/>
          <w:lang w:eastAsia="lv-LV"/>
        </w:rPr>
        <w:t>7</w:t>
      </w:r>
      <w:r w:rsidRPr="00C15997">
        <w:rPr>
          <w:rFonts w:eastAsia="Times New Roman" w:cs="Times New Roman"/>
          <w:szCs w:val="24"/>
          <w:lang w:eastAsia="lv-LV"/>
        </w:rPr>
        <w:t xml:space="preserve"> personu aizgādņiem noteikts pilnvaru apjoms jau esošās aizgādības ietvaros, pamatojoties uz spriedumu par </w:t>
      </w:r>
      <w:r w:rsidRPr="00C15997">
        <w:rPr>
          <w:rFonts w:eastAsia="Times New Roman" w:cs="Times New Roman"/>
          <w:szCs w:val="24"/>
          <w:lang w:eastAsia="lv-LV"/>
        </w:rPr>
        <w:lastRenderedPageBreak/>
        <w:t xml:space="preserve">rīcībspējas pārskatīšanu, </w:t>
      </w:r>
      <w:r w:rsidR="00E71852" w:rsidRPr="00C15997">
        <w:rPr>
          <w:rFonts w:eastAsia="Times New Roman" w:cs="Times New Roman"/>
          <w:szCs w:val="24"/>
          <w:lang w:eastAsia="lv-LV"/>
        </w:rPr>
        <w:t xml:space="preserve">3 </w:t>
      </w:r>
      <w:r w:rsidRPr="00C15997">
        <w:rPr>
          <w:rFonts w:eastAsia="Times New Roman" w:cs="Times New Roman"/>
          <w:szCs w:val="24"/>
          <w:lang w:eastAsia="lv-LV"/>
        </w:rPr>
        <w:t>personu aizgādņi atlaisti no pienākumu pildīšanas sakarā ar aizgādnībā esošās personas nāvi.</w:t>
      </w:r>
    </w:p>
    <w:p w14:paraId="6A474765" w14:textId="5175EAD7" w:rsidR="001713EF" w:rsidRPr="00C15997" w:rsidRDefault="001713EF" w:rsidP="001713EF">
      <w:pPr>
        <w:spacing w:after="0" w:line="240" w:lineRule="auto"/>
        <w:ind w:firstLine="720"/>
        <w:jc w:val="both"/>
        <w:rPr>
          <w:rFonts w:eastAsia="Times New Roman" w:cs="Times New Roman"/>
          <w:szCs w:val="24"/>
          <w:lang w:eastAsia="lv-LV"/>
        </w:rPr>
      </w:pPr>
      <w:r w:rsidRPr="00C15997">
        <w:rPr>
          <w:rFonts w:eastAsia="Times New Roman" w:cs="Times New Roman"/>
          <w:szCs w:val="24"/>
          <w:lang w:eastAsia="lv-LV"/>
        </w:rPr>
        <w:t>Aizgādnība var tikt nodibināta mantojumam, ja mantojuma atstājējam piederējis uzņēmums vai saimniecība, un tā darbība jāturpina līdz brīdim, kad mantiniekiem apstiprinātas mantojuma tiesības. Uz 202</w:t>
      </w:r>
      <w:r w:rsidR="008B7700" w:rsidRPr="00C15997">
        <w:rPr>
          <w:rFonts w:eastAsia="Times New Roman" w:cs="Times New Roman"/>
          <w:szCs w:val="24"/>
          <w:lang w:eastAsia="lv-LV"/>
        </w:rPr>
        <w:t>2</w:t>
      </w:r>
      <w:r w:rsidRPr="00C15997">
        <w:rPr>
          <w:rFonts w:eastAsia="Times New Roman" w:cs="Times New Roman"/>
          <w:szCs w:val="24"/>
          <w:lang w:eastAsia="lv-LV"/>
        </w:rPr>
        <w:t xml:space="preserve">. gada 31. decembri bāriņtiesā bija </w:t>
      </w:r>
      <w:r w:rsidR="0024311C" w:rsidRPr="00C15997">
        <w:rPr>
          <w:rFonts w:eastAsia="Times New Roman" w:cs="Times New Roman"/>
          <w:szCs w:val="24"/>
          <w:lang w:eastAsia="lv-LV"/>
        </w:rPr>
        <w:t>4</w:t>
      </w:r>
      <w:r w:rsidRPr="00C15997">
        <w:rPr>
          <w:rFonts w:eastAsia="Times New Roman" w:cs="Times New Roman"/>
          <w:szCs w:val="24"/>
          <w:lang w:eastAsia="lv-LV"/>
        </w:rPr>
        <w:t xml:space="preserve"> lietas par aizgādņa iecelšanu mantojumam. Pārskata gadā pieņemti </w:t>
      </w:r>
      <w:r w:rsidR="00533D30" w:rsidRPr="00C15997">
        <w:rPr>
          <w:rFonts w:eastAsia="Times New Roman" w:cs="Times New Roman"/>
          <w:szCs w:val="24"/>
          <w:lang w:eastAsia="lv-LV"/>
        </w:rPr>
        <w:t>8</w:t>
      </w:r>
      <w:r w:rsidRPr="00C15997">
        <w:rPr>
          <w:rFonts w:eastAsia="Times New Roman" w:cs="Times New Roman"/>
          <w:szCs w:val="24"/>
          <w:lang w:eastAsia="lv-LV"/>
        </w:rPr>
        <w:t xml:space="preserve"> lēmumi par aizgādnību mantojumam, no tiem </w:t>
      </w:r>
      <w:r w:rsidR="008B7700" w:rsidRPr="00C15997">
        <w:rPr>
          <w:rFonts w:eastAsia="Times New Roman" w:cs="Times New Roman"/>
          <w:szCs w:val="24"/>
          <w:lang w:eastAsia="lv-LV"/>
        </w:rPr>
        <w:t>4</w:t>
      </w:r>
      <w:r w:rsidRPr="00C15997">
        <w:rPr>
          <w:rFonts w:eastAsia="Times New Roman" w:cs="Times New Roman"/>
          <w:szCs w:val="24"/>
          <w:lang w:eastAsia="lv-LV"/>
        </w:rPr>
        <w:t xml:space="preserve"> par aizgādņa iecelšanu, </w:t>
      </w:r>
      <w:r w:rsidR="008B7700" w:rsidRPr="00C15997">
        <w:rPr>
          <w:rFonts w:eastAsia="Times New Roman" w:cs="Times New Roman"/>
          <w:szCs w:val="24"/>
          <w:lang w:eastAsia="lv-LV"/>
        </w:rPr>
        <w:t>4</w:t>
      </w:r>
      <w:r w:rsidRPr="00C15997">
        <w:rPr>
          <w:rFonts w:eastAsia="Times New Roman" w:cs="Times New Roman"/>
          <w:szCs w:val="24"/>
          <w:lang w:eastAsia="lv-LV"/>
        </w:rPr>
        <w:t xml:space="preserve"> par aizgādņa atlaišanu.</w:t>
      </w:r>
    </w:p>
    <w:p w14:paraId="4B8ADE29" w14:textId="77777777" w:rsidR="001713EF" w:rsidRPr="00C15997" w:rsidRDefault="001713EF" w:rsidP="001713EF">
      <w:pPr>
        <w:spacing w:before="120" w:after="0" w:line="240" w:lineRule="auto"/>
        <w:rPr>
          <w:rFonts w:eastAsia="Calibri" w:cs="Times New Roman"/>
          <w:b/>
        </w:rPr>
      </w:pPr>
      <w:r w:rsidRPr="00C15997">
        <w:rPr>
          <w:rFonts w:eastAsia="Calibri" w:cs="Times New Roman"/>
          <w:b/>
        </w:rPr>
        <w:t>Apliecinājumu izdarīšana un citu uzdevumu pildīšana</w:t>
      </w:r>
    </w:p>
    <w:p w14:paraId="29799706" w14:textId="77777777" w:rsidR="001713EF" w:rsidRPr="00C15997" w:rsidRDefault="001713EF" w:rsidP="001713EF">
      <w:pPr>
        <w:spacing w:after="0" w:line="240" w:lineRule="auto"/>
        <w:ind w:firstLine="720"/>
        <w:jc w:val="both"/>
        <w:rPr>
          <w:rFonts w:eastAsia="Calibri" w:cs="Times New Roman"/>
          <w:szCs w:val="24"/>
        </w:rPr>
      </w:pPr>
      <w:r w:rsidRPr="00C15997">
        <w:rPr>
          <w:rFonts w:eastAsia="Calibri" w:cs="Times New Roman"/>
          <w:szCs w:val="24"/>
        </w:rPr>
        <w:t xml:space="preserve">Bāriņtiesa Civillikuma noteiktajos gadījumos sniedz palīdzību mantojuma lietu kārtošanā, gādā par mantojuma apsardzību, kā arī izdara apliecinājumus un pilda citus Bāriņtiesu likuma 61.pantā norādītos uzdevumus, ja novadā nav notāra. Bāriņtiesa apliecina darījumus, ja darījuma summa nepārsniedz 8537 </w:t>
      </w:r>
      <w:proofErr w:type="spellStart"/>
      <w:r w:rsidRPr="00C15997">
        <w:rPr>
          <w:rFonts w:eastAsia="Calibri" w:cs="Times New Roman"/>
          <w:i/>
          <w:szCs w:val="24"/>
        </w:rPr>
        <w:t>euro</w:t>
      </w:r>
      <w:proofErr w:type="spellEnd"/>
      <w:r w:rsidRPr="00C15997">
        <w:rPr>
          <w:rFonts w:eastAsia="Calibri" w:cs="Times New Roman"/>
          <w:szCs w:val="24"/>
        </w:rPr>
        <w:t>.</w:t>
      </w:r>
    </w:p>
    <w:p w14:paraId="38A389A3" w14:textId="256F0D55" w:rsidR="001713EF" w:rsidRPr="00C15997" w:rsidRDefault="001713EF" w:rsidP="001713EF">
      <w:pPr>
        <w:spacing w:after="0" w:line="240" w:lineRule="auto"/>
        <w:ind w:firstLine="720"/>
        <w:jc w:val="both"/>
        <w:rPr>
          <w:rFonts w:eastAsia="Calibri" w:cs="Times New Roman"/>
          <w:szCs w:val="24"/>
        </w:rPr>
      </w:pPr>
      <w:r w:rsidRPr="00C15997">
        <w:rPr>
          <w:rFonts w:eastAsia="Calibri" w:cs="Times New Roman"/>
          <w:szCs w:val="24"/>
        </w:rPr>
        <w:t>Bāriņtiesu likums atļauj Bāriņtiesai veikt notariālās darbības tikai Dobeles novada pagastu teritorijās. 202</w:t>
      </w:r>
      <w:r w:rsidR="001861E3" w:rsidRPr="00C15997">
        <w:rPr>
          <w:rFonts w:eastAsia="Calibri" w:cs="Times New Roman"/>
          <w:szCs w:val="24"/>
        </w:rPr>
        <w:t>2</w:t>
      </w:r>
      <w:r w:rsidRPr="00C15997">
        <w:rPr>
          <w:rFonts w:eastAsia="Calibri" w:cs="Times New Roman"/>
          <w:szCs w:val="24"/>
        </w:rPr>
        <w:t xml:space="preserve">. gadā bāriņtiesā </w:t>
      </w:r>
      <w:r w:rsidR="004F7403" w:rsidRPr="00C15997">
        <w:rPr>
          <w:rFonts w:eastAsia="Calibri" w:cs="Times New Roman"/>
          <w:szCs w:val="24"/>
        </w:rPr>
        <w:t>ir</w:t>
      </w:r>
      <w:r w:rsidRPr="00C15997">
        <w:rPr>
          <w:rFonts w:eastAsia="Calibri" w:cs="Times New Roman"/>
          <w:szCs w:val="24"/>
        </w:rPr>
        <w:t xml:space="preserve"> veikt</w:t>
      </w:r>
      <w:r w:rsidR="004F7403" w:rsidRPr="00C15997">
        <w:rPr>
          <w:rFonts w:eastAsia="Calibri" w:cs="Times New Roman"/>
          <w:szCs w:val="24"/>
        </w:rPr>
        <w:t>i</w:t>
      </w:r>
      <w:r w:rsidRPr="00C15997">
        <w:rPr>
          <w:rFonts w:eastAsia="Calibri" w:cs="Times New Roman"/>
          <w:szCs w:val="24"/>
        </w:rPr>
        <w:t xml:space="preserve"> apliecinājumu un citu uzdevumu skaits – ir veiktas </w:t>
      </w:r>
      <w:r w:rsidR="00533D30" w:rsidRPr="00C15997">
        <w:rPr>
          <w:rFonts w:eastAsia="Calibri" w:cs="Times New Roman"/>
          <w:szCs w:val="24"/>
        </w:rPr>
        <w:t>1730</w:t>
      </w:r>
      <w:r w:rsidRPr="00C15997">
        <w:rPr>
          <w:rFonts w:eastAsia="Calibri" w:cs="Times New Roman"/>
          <w:szCs w:val="24"/>
        </w:rPr>
        <w:t xml:space="preserve"> notariālas darbības</w:t>
      </w:r>
      <w:r w:rsidR="0007095D" w:rsidRPr="00C15997">
        <w:rPr>
          <w:rFonts w:eastAsia="Calibri" w:cs="Times New Roman"/>
          <w:szCs w:val="24"/>
        </w:rPr>
        <w:t xml:space="preserve">, </w:t>
      </w:r>
      <w:r w:rsidRPr="00C15997">
        <w:rPr>
          <w:rFonts w:eastAsia="Calibri" w:cs="Times New Roman"/>
          <w:szCs w:val="24"/>
        </w:rPr>
        <w:t>no tām:</w:t>
      </w:r>
    </w:p>
    <w:p w14:paraId="74E3FE7D" w14:textId="2D811177"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apliecināto darījumu skaits</w:t>
      </w:r>
      <w:r w:rsidR="001713EF" w:rsidRPr="00C15997">
        <w:rPr>
          <w:rFonts w:eastAsia="Calibri" w:cs="Times New Roman"/>
        </w:rPr>
        <w:t xml:space="preserve"> – </w:t>
      </w:r>
      <w:r w:rsidRPr="00C15997">
        <w:rPr>
          <w:rFonts w:eastAsia="Calibri" w:cs="Times New Roman"/>
        </w:rPr>
        <w:t>153</w:t>
      </w:r>
      <w:r w:rsidR="001713EF" w:rsidRPr="00C15997">
        <w:rPr>
          <w:rFonts w:eastAsia="Calibri" w:cs="Times New Roman"/>
        </w:rPr>
        <w:t>;</w:t>
      </w:r>
    </w:p>
    <w:p w14:paraId="69A6FE2A" w14:textId="33EA890B"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sastādīto testamentu skaits – 3;</w:t>
      </w:r>
    </w:p>
    <w:p w14:paraId="46717BBB" w14:textId="71836A0C"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glabāšanā pieņemto testamentu skaits</w:t>
      </w:r>
      <w:r w:rsidR="001713EF" w:rsidRPr="00C15997">
        <w:rPr>
          <w:rFonts w:eastAsia="Calibri" w:cs="Times New Roman"/>
        </w:rPr>
        <w:t xml:space="preserve"> – </w:t>
      </w:r>
      <w:r w:rsidRPr="00C15997">
        <w:rPr>
          <w:rFonts w:eastAsia="Calibri" w:cs="Times New Roman"/>
        </w:rPr>
        <w:t>3</w:t>
      </w:r>
      <w:r w:rsidR="001713EF" w:rsidRPr="00C15997">
        <w:rPr>
          <w:rFonts w:eastAsia="Calibri" w:cs="Times New Roman"/>
        </w:rPr>
        <w:t>;</w:t>
      </w:r>
    </w:p>
    <w:p w14:paraId="0AA4930C" w14:textId="10586762"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apliecināto pilnvaru skaits - 200</w:t>
      </w:r>
      <w:r w:rsidR="001713EF" w:rsidRPr="00C15997">
        <w:rPr>
          <w:rFonts w:eastAsia="Calibri" w:cs="Times New Roman"/>
        </w:rPr>
        <w:t>;</w:t>
      </w:r>
    </w:p>
    <w:p w14:paraId="66A9EC3A" w14:textId="2A82DFD6"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apliecināto paraksta īstuma skaits - 535</w:t>
      </w:r>
      <w:r w:rsidR="001713EF" w:rsidRPr="00C15997">
        <w:rPr>
          <w:rFonts w:eastAsia="Calibri" w:cs="Times New Roman"/>
        </w:rPr>
        <w:t>;</w:t>
      </w:r>
    </w:p>
    <w:p w14:paraId="79D1E849" w14:textId="7158BF41" w:rsidR="00B47D04"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apliecināto dokumentu noraksta, kopijas vai izraksta pareizības skaits – 489;</w:t>
      </w:r>
    </w:p>
    <w:p w14:paraId="179C26AB" w14:textId="6556FA87" w:rsidR="00B47D04"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sagatavoto nostiprinājuma lūgumu zemesgrāmatai skaits- 260;</w:t>
      </w:r>
    </w:p>
    <w:p w14:paraId="1FD8681B" w14:textId="01240BF9" w:rsidR="001713EF" w:rsidRPr="00C15997" w:rsidRDefault="00B47D04" w:rsidP="001713EF">
      <w:pPr>
        <w:numPr>
          <w:ilvl w:val="0"/>
          <w:numId w:val="2"/>
        </w:numPr>
        <w:spacing w:after="0" w:line="240" w:lineRule="auto"/>
        <w:ind w:left="357"/>
        <w:rPr>
          <w:rFonts w:eastAsia="Calibri" w:cs="Times New Roman"/>
        </w:rPr>
      </w:pPr>
      <w:r w:rsidRPr="00C15997">
        <w:rPr>
          <w:rFonts w:eastAsia="Calibri" w:cs="Times New Roman"/>
        </w:rPr>
        <w:t>citu sagatavoto</w:t>
      </w:r>
      <w:r w:rsidR="00A05638" w:rsidRPr="00C15997">
        <w:rPr>
          <w:rFonts w:eastAsia="Calibri" w:cs="Times New Roman"/>
        </w:rPr>
        <w:t xml:space="preserve"> dokumentu projektu skaits</w:t>
      </w:r>
      <w:r w:rsidR="001713EF" w:rsidRPr="00C15997">
        <w:rPr>
          <w:rFonts w:eastAsia="Calibri" w:cs="Times New Roman"/>
        </w:rPr>
        <w:t xml:space="preserve"> - </w:t>
      </w:r>
      <w:r w:rsidR="00A05638" w:rsidRPr="00C15997">
        <w:rPr>
          <w:rFonts w:eastAsia="Calibri" w:cs="Times New Roman"/>
        </w:rPr>
        <w:t>48</w:t>
      </w:r>
      <w:r w:rsidR="001713EF" w:rsidRPr="00C15997">
        <w:rPr>
          <w:rFonts w:eastAsia="Calibri" w:cs="Times New Roman"/>
        </w:rPr>
        <w:t>.</w:t>
      </w:r>
    </w:p>
    <w:p w14:paraId="4C1E9106" w14:textId="0B43579B" w:rsidR="001713EF" w:rsidRPr="00C15997" w:rsidRDefault="001713EF" w:rsidP="001713EF">
      <w:pPr>
        <w:spacing w:after="0" w:line="240" w:lineRule="auto"/>
        <w:ind w:firstLine="720"/>
        <w:jc w:val="both"/>
        <w:rPr>
          <w:rFonts w:eastAsia="Calibri" w:cs="Times New Roman"/>
          <w:szCs w:val="24"/>
        </w:rPr>
      </w:pPr>
      <w:r w:rsidRPr="00C15997">
        <w:rPr>
          <w:rFonts w:eastAsia="Calibri" w:cs="Times New Roman"/>
          <w:szCs w:val="24"/>
        </w:rPr>
        <w:t xml:space="preserve">Par šīm darbībām pašvaldības budžetā ir iekasēta valsts nodeva </w:t>
      </w:r>
      <w:r w:rsidR="00B366FD" w:rsidRPr="00C15997">
        <w:rPr>
          <w:rFonts w:eastAsia="Calibri" w:cs="Times New Roman"/>
          <w:szCs w:val="24"/>
        </w:rPr>
        <w:t>7782,89</w:t>
      </w:r>
      <w:r w:rsidRPr="00C15997">
        <w:rPr>
          <w:rFonts w:eastAsia="Calibri" w:cs="Times New Roman"/>
          <w:szCs w:val="24"/>
        </w:rPr>
        <w:t xml:space="preserve"> </w:t>
      </w:r>
      <w:proofErr w:type="spellStart"/>
      <w:r w:rsidRPr="00C15997">
        <w:rPr>
          <w:rFonts w:eastAsia="Calibri" w:cs="Times New Roman"/>
          <w:i/>
          <w:szCs w:val="24"/>
        </w:rPr>
        <w:t>euro</w:t>
      </w:r>
      <w:proofErr w:type="spellEnd"/>
      <w:r w:rsidRPr="00C15997">
        <w:rPr>
          <w:rFonts w:eastAsia="Calibri" w:cs="Times New Roman"/>
          <w:szCs w:val="24"/>
        </w:rPr>
        <w:t xml:space="preserve"> apmērā. </w:t>
      </w:r>
    </w:p>
    <w:p w14:paraId="7FE66FF9" w14:textId="77777777" w:rsidR="001713EF" w:rsidRPr="00C15997" w:rsidRDefault="001713EF" w:rsidP="001713EF">
      <w:pPr>
        <w:spacing w:after="0" w:line="240" w:lineRule="auto"/>
        <w:ind w:firstLine="720"/>
        <w:jc w:val="both"/>
        <w:rPr>
          <w:rFonts w:eastAsia="Calibri" w:cs="Times New Roman"/>
          <w:bCs/>
          <w:szCs w:val="24"/>
        </w:rPr>
      </w:pPr>
      <w:r w:rsidRPr="00C15997">
        <w:rPr>
          <w:rFonts w:eastAsia="Calibri" w:cs="Times New Roman"/>
          <w:bCs/>
          <w:szCs w:val="24"/>
        </w:rPr>
        <w:t>Bāriņtiesas darba apjoms pēdējo gadu laikā ir būtiski palielinājies. Tā pamatojums ir grozījumi likumos (Civillikums, Civilprocesa likums, Bērnu tiesību aizsardzības likums u.c.), noteikumos vai arī jaunu noteikumu stāšanās spēkā.</w:t>
      </w:r>
    </w:p>
    <w:p w14:paraId="4662A263" w14:textId="696C3845" w:rsidR="001713EF" w:rsidRPr="00C15997" w:rsidRDefault="001713EF" w:rsidP="001713EF">
      <w:pPr>
        <w:spacing w:after="0" w:line="240" w:lineRule="auto"/>
        <w:ind w:firstLine="720"/>
        <w:jc w:val="both"/>
        <w:rPr>
          <w:rFonts w:eastAsia="Calibri" w:cs="Times New Roman"/>
          <w:bCs/>
          <w:szCs w:val="24"/>
        </w:rPr>
      </w:pPr>
      <w:r w:rsidRPr="00C15997">
        <w:rPr>
          <w:rFonts w:eastAsia="Calibri" w:cs="Times New Roman"/>
          <w:bCs/>
          <w:szCs w:val="24"/>
        </w:rPr>
        <w:t>Regulāri informācija par bāriņtiesā pieņemtajiem lēmumiem tiek ievadīta</w:t>
      </w:r>
      <w:r w:rsidR="00B366FD" w:rsidRPr="00C15997">
        <w:rPr>
          <w:rFonts w:eastAsia="Calibri" w:cs="Times New Roman"/>
          <w:bCs/>
          <w:szCs w:val="24"/>
        </w:rPr>
        <w:t xml:space="preserve"> </w:t>
      </w:r>
      <w:r w:rsidR="00B366FD" w:rsidRPr="00C15997">
        <w:rPr>
          <w:rFonts w:eastAsia="Calibri" w:cs="Times New Roman"/>
        </w:rPr>
        <w:t>Bāriņtiesu informācijas sistēm</w:t>
      </w:r>
      <w:r w:rsidR="00C15997" w:rsidRPr="00C15997">
        <w:rPr>
          <w:rFonts w:eastAsia="Calibri" w:cs="Times New Roman"/>
        </w:rPr>
        <w:t>ā</w:t>
      </w:r>
      <w:r w:rsidR="00B366FD" w:rsidRPr="00C15997">
        <w:rPr>
          <w:rFonts w:eastAsia="Calibri" w:cs="Times New Roman"/>
        </w:rPr>
        <w:t xml:space="preserve"> </w:t>
      </w:r>
      <w:r w:rsidR="00B366FD" w:rsidRPr="00C15997">
        <w:rPr>
          <w:rFonts w:eastAsia="Calibri" w:cs="Times New Roman"/>
          <w:bCs/>
          <w:szCs w:val="24"/>
        </w:rPr>
        <w:t>(BARIS)</w:t>
      </w:r>
      <w:r w:rsidR="00C15997" w:rsidRPr="00C15997">
        <w:rPr>
          <w:rFonts w:eastAsia="Calibri" w:cs="Times New Roman"/>
          <w:bCs/>
          <w:szCs w:val="24"/>
        </w:rPr>
        <w:t xml:space="preserve"> un </w:t>
      </w:r>
      <w:proofErr w:type="spellStart"/>
      <w:r w:rsidR="00C15997" w:rsidRPr="00C15997">
        <w:rPr>
          <w:rFonts w:eastAsia="Calibri" w:cs="Times New Roman"/>
          <w:bCs/>
          <w:szCs w:val="24"/>
        </w:rPr>
        <w:t>Lietvarī</w:t>
      </w:r>
      <w:proofErr w:type="spellEnd"/>
      <w:r w:rsidR="00B366FD" w:rsidRPr="00C15997">
        <w:rPr>
          <w:rFonts w:eastAsia="Calibri" w:cs="Times New Roman"/>
          <w:bCs/>
          <w:szCs w:val="24"/>
        </w:rPr>
        <w:t>.</w:t>
      </w:r>
      <w:r w:rsidRPr="00C15997">
        <w:rPr>
          <w:rFonts w:eastAsia="Calibri" w:cs="Times New Roman"/>
          <w:bCs/>
          <w:szCs w:val="24"/>
        </w:rPr>
        <w:t xml:space="preserve"> Normatīvajos aktos noteiktajā kārtībā tiek sniegta informācija par pieņemtajiem lēmumiem Valsts Sociālās apdrošināšanas aģentūrai, Pilsonības un migrāciju lietu pārvaldei, Uzturlīdzekļu garantiju fondam.</w:t>
      </w:r>
    </w:p>
    <w:p w14:paraId="50FC7E6A" w14:textId="77777777" w:rsidR="001713EF" w:rsidRPr="00C15997" w:rsidRDefault="001713EF" w:rsidP="001713EF">
      <w:pPr>
        <w:spacing w:after="0" w:line="240" w:lineRule="auto"/>
        <w:ind w:firstLine="720"/>
        <w:jc w:val="both"/>
        <w:rPr>
          <w:rFonts w:eastAsia="Calibri" w:cs="Times New Roman"/>
          <w:bCs/>
          <w:szCs w:val="24"/>
        </w:rPr>
      </w:pPr>
      <w:r w:rsidRPr="00C15997">
        <w:rPr>
          <w:rFonts w:eastAsia="Calibri" w:cs="Times New Roman"/>
          <w:bCs/>
          <w:szCs w:val="24"/>
        </w:rPr>
        <w:t>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p>
    <w:p w14:paraId="018A892B" w14:textId="77777777" w:rsidR="001B7009" w:rsidRPr="00C15997" w:rsidRDefault="001B7009"/>
    <w:sectPr w:rsidR="001B7009" w:rsidRPr="00C15997" w:rsidSect="001713EF">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71B44"/>
    <w:multiLevelType w:val="multilevel"/>
    <w:tmpl w:val="0F64C52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E5D3FC4"/>
    <w:multiLevelType w:val="hybridMultilevel"/>
    <w:tmpl w:val="2772938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39182060">
    <w:abstractNumId w:val="0"/>
  </w:num>
  <w:num w:numId="2" w16cid:durableId="126762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EF"/>
    <w:rsid w:val="00010DF5"/>
    <w:rsid w:val="0003137D"/>
    <w:rsid w:val="0007095D"/>
    <w:rsid w:val="00075768"/>
    <w:rsid w:val="00106A30"/>
    <w:rsid w:val="00114F70"/>
    <w:rsid w:val="00120CC7"/>
    <w:rsid w:val="00124B7F"/>
    <w:rsid w:val="001713EF"/>
    <w:rsid w:val="001861E3"/>
    <w:rsid w:val="001A018F"/>
    <w:rsid w:val="001B7009"/>
    <w:rsid w:val="00220AEB"/>
    <w:rsid w:val="0024311C"/>
    <w:rsid w:val="003377D7"/>
    <w:rsid w:val="003826F1"/>
    <w:rsid w:val="0039197D"/>
    <w:rsid w:val="004F7403"/>
    <w:rsid w:val="00533D30"/>
    <w:rsid w:val="005672EF"/>
    <w:rsid w:val="0060129F"/>
    <w:rsid w:val="006A4B13"/>
    <w:rsid w:val="006D1DD6"/>
    <w:rsid w:val="007611DB"/>
    <w:rsid w:val="007B4667"/>
    <w:rsid w:val="0080269C"/>
    <w:rsid w:val="00820A75"/>
    <w:rsid w:val="00836CBF"/>
    <w:rsid w:val="008543DB"/>
    <w:rsid w:val="008B7700"/>
    <w:rsid w:val="008F0228"/>
    <w:rsid w:val="00912147"/>
    <w:rsid w:val="009178D3"/>
    <w:rsid w:val="009A70A4"/>
    <w:rsid w:val="009C6862"/>
    <w:rsid w:val="009E1AF4"/>
    <w:rsid w:val="00A05638"/>
    <w:rsid w:val="00A251AD"/>
    <w:rsid w:val="00A61B0C"/>
    <w:rsid w:val="00B366FD"/>
    <w:rsid w:val="00B47D04"/>
    <w:rsid w:val="00B921CF"/>
    <w:rsid w:val="00BC20BC"/>
    <w:rsid w:val="00C15997"/>
    <w:rsid w:val="00CD3F36"/>
    <w:rsid w:val="00D20875"/>
    <w:rsid w:val="00D21FA5"/>
    <w:rsid w:val="00D7051A"/>
    <w:rsid w:val="00E04969"/>
    <w:rsid w:val="00E127AE"/>
    <w:rsid w:val="00E71852"/>
    <w:rsid w:val="00E832D8"/>
    <w:rsid w:val="00EE58D9"/>
    <w:rsid w:val="00F34014"/>
    <w:rsid w:val="00F75CA5"/>
    <w:rsid w:val="00FB70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11A4"/>
  <w15:chartTrackingRefBased/>
  <w15:docId w15:val="{E7D364B7-99FE-4FFC-90C0-F665E14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095D"/>
    <w:rPr>
      <w:sz w:val="16"/>
      <w:szCs w:val="16"/>
    </w:rPr>
  </w:style>
  <w:style w:type="paragraph" w:styleId="CommentText">
    <w:name w:val="annotation text"/>
    <w:basedOn w:val="Normal"/>
    <w:link w:val="CommentTextChar"/>
    <w:uiPriority w:val="99"/>
    <w:semiHidden/>
    <w:unhideWhenUsed/>
    <w:rsid w:val="0007095D"/>
    <w:pPr>
      <w:spacing w:line="240" w:lineRule="auto"/>
    </w:pPr>
    <w:rPr>
      <w:sz w:val="20"/>
      <w:szCs w:val="20"/>
    </w:rPr>
  </w:style>
  <w:style w:type="character" w:customStyle="1" w:styleId="CommentTextChar">
    <w:name w:val="Comment Text Char"/>
    <w:basedOn w:val="DefaultParagraphFont"/>
    <w:link w:val="CommentText"/>
    <w:uiPriority w:val="99"/>
    <w:semiHidden/>
    <w:rsid w:val="000709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095D"/>
    <w:rPr>
      <w:b/>
      <w:bCs/>
    </w:rPr>
  </w:style>
  <w:style w:type="character" w:customStyle="1" w:styleId="CommentSubjectChar">
    <w:name w:val="Comment Subject Char"/>
    <w:basedOn w:val="CommentTextChar"/>
    <w:link w:val="CommentSubject"/>
    <w:uiPriority w:val="99"/>
    <w:semiHidden/>
    <w:rsid w:val="0007095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5811</Words>
  <Characters>3313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Peļņa</dc:creator>
  <cp:keywords/>
  <dc:description/>
  <cp:lastModifiedBy>Lietotajs</cp:lastModifiedBy>
  <cp:revision>4</cp:revision>
  <dcterms:created xsi:type="dcterms:W3CDTF">2023-04-26T07:48:00Z</dcterms:created>
  <dcterms:modified xsi:type="dcterms:W3CDTF">2023-04-26T07:50:00Z</dcterms:modified>
</cp:coreProperties>
</file>