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BADC" w14:textId="77777777" w:rsidR="000A536E" w:rsidRPr="00E72A2F" w:rsidRDefault="000A536E" w:rsidP="000A536E">
      <w:pPr>
        <w:spacing w:after="0" w:line="240" w:lineRule="auto"/>
        <w:jc w:val="right"/>
        <w:rPr>
          <w:rFonts w:ascii="Times New Roman" w:hAnsi="Times New Roman"/>
          <w:sz w:val="24"/>
          <w:szCs w:val="24"/>
        </w:rPr>
      </w:pPr>
      <w:r w:rsidRPr="00E72A2F">
        <w:rPr>
          <w:rFonts w:ascii="Times New Roman" w:hAnsi="Times New Roman"/>
          <w:sz w:val="24"/>
          <w:szCs w:val="24"/>
        </w:rPr>
        <w:t>Pielikums</w:t>
      </w:r>
    </w:p>
    <w:p w14:paraId="24CD64F6" w14:textId="77777777" w:rsidR="000A536E" w:rsidRPr="00E72A2F" w:rsidRDefault="000A536E" w:rsidP="000A536E">
      <w:pPr>
        <w:spacing w:after="0" w:line="240" w:lineRule="auto"/>
        <w:jc w:val="right"/>
        <w:rPr>
          <w:rFonts w:ascii="Times New Roman" w:hAnsi="Times New Roman"/>
          <w:color w:val="000000"/>
          <w:sz w:val="24"/>
          <w:szCs w:val="24"/>
        </w:rPr>
      </w:pPr>
      <w:r w:rsidRPr="00E72A2F">
        <w:rPr>
          <w:rFonts w:ascii="Times New Roman" w:hAnsi="Times New Roman"/>
          <w:color w:val="000000"/>
          <w:sz w:val="24"/>
          <w:szCs w:val="24"/>
        </w:rPr>
        <w:t>Dobeles novada domes</w:t>
      </w:r>
    </w:p>
    <w:p w14:paraId="76A6FF71" w14:textId="77777777" w:rsidR="000A536E" w:rsidRPr="00E72A2F" w:rsidRDefault="000A536E" w:rsidP="000A536E">
      <w:pPr>
        <w:spacing w:after="0" w:line="240" w:lineRule="auto"/>
        <w:jc w:val="right"/>
        <w:rPr>
          <w:rFonts w:ascii="Times New Roman" w:hAnsi="Times New Roman"/>
          <w:color w:val="000000"/>
          <w:sz w:val="24"/>
          <w:szCs w:val="24"/>
        </w:rPr>
      </w:pPr>
      <w:r w:rsidRPr="00E72A2F">
        <w:rPr>
          <w:rFonts w:ascii="Times New Roman" w:hAnsi="Times New Roman"/>
          <w:color w:val="000000"/>
          <w:sz w:val="24"/>
          <w:szCs w:val="24"/>
        </w:rPr>
        <w:t xml:space="preserve">2022. gada 26. maija </w:t>
      </w:r>
    </w:p>
    <w:p w14:paraId="7FA2763A" w14:textId="67CD326E" w:rsidR="000A536E" w:rsidRPr="00E72A2F" w:rsidRDefault="000A536E" w:rsidP="000A536E">
      <w:pPr>
        <w:spacing w:after="0" w:line="240" w:lineRule="auto"/>
        <w:jc w:val="right"/>
        <w:rPr>
          <w:rFonts w:ascii="Times New Roman" w:hAnsi="Times New Roman"/>
          <w:color w:val="000000"/>
          <w:sz w:val="24"/>
          <w:szCs w:val="24"/>
        </w:rPr>
      </w:pPr>
      <w:r w:rsidRPr="00E72A2F">
        <w:rPr>
          <w:rFonts w:ascii="Times New Roman" w:hAnsi="Times New Roman"/>
          <w:color w:val="000000"/>
          <w:sz w:val="24"/>
          <w:szCs w:val="24"/>
        </w:rPr>
        <w:t>lēmumam Nr.</w:t>
      </w:r>
      <w:r w:rsidR="003C45E6">
        <w:rPr>
          <w:rFonts w:ascii="Times New Roman" w:hAnsi="Times New Roman"/>
          <w:color w:val="000000"/>
          <w:sz w:val="24"/>
          <w:szCs w:val="24"/>
        </w:rPr>
        <w:t>268</w:t>
      </w:r>
      <w:r w:rsidRPr="00E72A2F">
        <w:rPr>
          <w:rFonts w:ascii="Times New Roman" w:hAnsi="Times New Roman"/>
          <w:color w:val="000000"/>
          <w:sz w:val="24"/>
          <w:szCs w:val="24"/>
        </w:rPr>
        <w:t>/</w:t>
      </w:r>
      <w:r>
        <w:rPr>
          <w:rFonts w:ascii="Times New Roman" w:hAnsi="Times New Roman"/>
          <w:color w:val="000000"/>
          <w:sz w:val="24"/>
          <w:szCs w:val="24"/>
        </w:rPr>
        <w:t>9</w:t>
      </w:r>
    </w:p>
    <w:p w14:paraId="169E89BB" w14:textId="77777777" w:rsidR="000A536E" w:rsidRPr="00E72A2F" w:rsidRDefault="000A536E" w:rsidP="000A536E">
      <w:pPr>
        <w:spacing w:after="0" w:line="240" w:lineRule="auto"/>
        <w:jc w:val="center"/>
        <w:rPr>
          <w:rFonts w:ascii="Times New Roman" w:hAnsi="Times New Roman"/>
          <w:b/>
          <w:bCs/>
          <w:sz w:val="24"/>
          <w:szCs w:val="24"/>
        </w:rPr>
      </w:pPr>
    </w:p>
    <w:p w14:paraId="5B168BBF" w14:textId="77777777" w:rsidR="000A536E" w:rsidRPr="00E72A2F" w:rsidRDefault="000A536E" w:rsidP="000A536E">
      <w:pPr>
        <w:jc w:val="center"/>
        <w:rPr>
          <w:rFonts w:ascii="Times New Roman" w:hAnsi="Times New Roman"/>
          <w:b/>
          <w:bCs/>
          <w:sz w:val="24"/>
          <w:szCs w:val="24"/>
        </w:rPr>
      </w:pPr>
    </w:p>
    <w:p w14:paraId="0AFBFCCD" w14:textId="77777777" w:rsidR="000A536E" w:rsidRPr="00C959CC" w:rsidRDefault="000A536E" w:rsidP="000A536E">
      <w:pPr>
        <w:tabs>
          <w:tab w:val="left" w:pos="-24212"/>
        </w:tabs>
        <w:suppressAutoHyphens w:val="0"/>
        <w:autoSpaceDN/>
        <w:spacing w:after="0" w:line="240" w:lineRule="auto"/>
        <w:jc w:val="center"/>
        <w:rPr>
          <w:rFonts w:ascii="Times New Roman" w:eastAsia="Times New Roman" w:hAnsi="Times New Roman"/>
          <w:sz w:val="20"/>
          <w:szCs w:val="20"/>
          <w:lang w:eastAsia="lv-LV"/>
        </w:rPr>
      </w:pPr>
      <w:r w:rsidRPr="00C959CC">
        <w:rPr>
          <w:rFonts w:ascii="Times New Roman" w:eastAsia="Times New Roman" w:hAnsi="Times New Roman"/>
          <w:noProof/>
          <w:sz w:val="20"/>
          <w:szCs w:val="20"/>
          <w:lang w:eastAsia="lv-LV"/>
        </w:rPr>
        <w:drawing>
          <wp:inline distT="0" distB="0" distL="0" distR="0" wp14:anchorId="03D8DB26" wp14:editId="315BF5C8">
            <wp:extent cx="676275" cy="7524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1DF2DC" w14:textId="77777777" w:rsidR="000A536E" w:rsidRPr="00C959CC" w:rsidRDefault="000A536E" w:rsidP="000A536E">
      <w:pPr>
        <w:tabs>
          <w:tab w:val="center" w:pos="4153"/>
          <w:tab w:val="right" w:pos="8306"/>
        </w:tabs>
        <w:suppressAutoHyphens w:val="0"/>
        <w:autoSpaceDN/>
        <w:spacing w:after="0" w:line="240" w:lineRule="auto"/>
        <w:jc w:val="center"/>
        <w:rPr>
          <w:rFonts w:ascii="Times New Roman" w:eastAsia="Times New Roman" w:hAnsi="Times New Roman"/>
          <w:sz w:val="20"/>
          <w:szCs w:val="24"/>
          <w:lang w:val="x-none" w:eastAsia="x-none"/>
        </w:rPr>
      </w:pPr>
      <w:r w:rsidRPr="00C959CC">
        <w:rPr>
          <w:rFonts w:ascii="Times New Roman" w:eastAsia="Times New Roman" w:hAnsi="Times New Roman"/>
          <w:sz w:val="20"/>
          <w:szCs w:val="24"/>
          <w:lang w:val="x-none" w:eastAsia="x-none"/>
        </w:rPr>
        <w:t>LATVIJAS REPUBLIKA</w:t>
      </w:r>
    </w:p>
    <w:p w14:paraId="17FA7FBF" w14:textId="77777777" w:rsidR="000A536E" w:rsidRPr="00C959CC" w:rsidRDefault="000A536E" w:rsidP="000A536E">
      <w:pPr>
        <w:tabs>
          <w:tab w:val="center" w:pos="4153"/>
          <w:tab w:val="right" w:pos="8306"/>
        </w:tabs>
        <w:suppressAutoHyphens w:val="0"/>
        <w:autoSpaceDN/>
        <w:spacing w:after="0" w:line="240" w:lineRule="auto"/>
        <w:jc w:val="center"/>
        <w:rPr>
          <w:rFonts w:ascii="Times New Roman" w:eastAsia="Times New Roman" w:hAnsi="Times New Roman"/>
          <w:b/>
          <w:sz w:val="32"/>
          <w:szCs w:val="32"/>
          <w:lang w:val="x-none" w:eastAsia="x-none"/>
        </w:rPr>
      </w:pPr>
      <w:r w:rsidRPr="00C959CC">
        <w:rPr>
          <w:rFonts w:ascii="Times New Roman" w:eastAsia="Times New Roman" w:hAnsi="Times New Roman"/>
          <w:b/>
          <w:sz w:val="32"/>
          <w:szCs w:val="32"/>
          <w:lang w:val="x-none" w:eastAsia="x-none"/>
        </w:rPr>
        <w:t>DOBELES NOVADA DOME</w:t>
      </w:r>
    </w:p>
    <w:p w14:paraId="0003811B" w14:textId="77777777" w:rsidR="000A536E" w:rsidRPr="00C959CC" w:rsidRDefault="000A536E" w:rsidP="000A536E">
      <w:pPr>
        <w:tabs>
          <w:tab w:val="center" w:pos="4153"/>
          <w:tab w:val="right" w:pos="8306"/>
        </w:tabs>
        <w:suppressAutoHyphens w:val="0"/>
        <w:autoSpaceDN/>
        <w:spacing w:after="0" w:line="240" w:lineRule="auto"/>
        <w:jc w:val="center"/>
        <w:rPr>
          <w:rFonts w:ascii="Times New Roman" w:eastAsia="Times New Roman" w:hAnsi="Times New Roman"/>
          <w:sz w:val="16"/>
          <w:szCs w:val="16"/>
          <w:lang w:val="x-none" w:eastAsia="x-none"/>
        </w:rPr>
      </w:pPr>
      <w:r w:rsidRPr="00C959CC">
        <w:rPr>
          <w:rFonts w:ascii="Times New Roman" w:eastAsia="Times New Roman" w:hAnsi="Times New Roman"/>
          <w:sz w:val="16"/>
          <w:szCs w:val="16"/>
          <w:lang w:val="x-none" w:eastAsia="x-none"/>
        </w:rPr>
        <w:t>Brīvības iela 17, Dobele, Dobeles novads, LV-3701</w:t>
      </w:r>
    </w:p>
    <w:p w14:paraId="217CABEE" w14:textId="77777777" w:rsidR="000A536E" w:rsidRPr="00C959CC" w:rsidRDefault="000A536E" w:rsidP="000A536E">
      <w:pPr>
        <w:pBdr>
          <w:bottom w:val="double" w:sz="6" w:space="1" w:color="auto"/>
        </w:pBdr>
        <w:tabs>
          <w:tab w:val="center" w:pos="4153"/>
          <w:tab w:val="right" w:pos="8306"/>
        </w:tabs>
        <w:suppressAutoHyphens w:val="0"/>
        <w:autoSpaceDN/>
        <w:spacing w:after="0" w:line="240" w:lineRule="auto"/>
        <w:jc w:val="center"/>
        <w:rPr>
          <w:rFonts w:ascii="Times New Roman" w:eastAsia="Times New Roman" w:hAnsi="Times New Roman"/>
          <w:color w:val="000000"/>
          <w:sz w:val="16"/>
          <w:szCs w:val="16"/>
          <w:lang w:val="x-none" w:eastAsia="x-none"/>
        </w:rPr>
      </w:pPr>
      <w:r w:rsidRPr="00C959CC">
        <w:rPr>
          <w:rFonts w:ascii="Times New Roman" w:eastAsia="Times New Roman" w:hAnsi="Times New Roman"/>
          <w:sz w:val="16"/>
          <w:szCs w:val="16"/>
          <w:lang w:val="x-none" w:eastAsia="x-none"/>
        </w:rPr>
        <w:t xml:space="preserve">Tālr. 63707269, 63700137, 63720940, e-pasts </w:t>
      </w:r>
      <w:hyperlink r:id="rId6" w:history="1">
        <w:r w:rsidRPr="00C959CC">
          <w:rPr>
            <w:rFonts w:ascii="Times New Roman" w:hAnsi="Times New Roman"/>
            <w:color w:val="000000"/>
            <w:sz w:val="16"/>
            <w:szCs w:val="16"/>
            <w:u w:val="single"/>
            <w:lang w:val="x-none" w:eastAsia="x-none"/>
          </w:rPr>
          <w:t>dome@dobele.lv</w:t>
        </w:r>
      </w:hyperlink>
    </w:p>
    <w:p w14:paraId="46DC7B32" w14:textId="77777777" w:rsidR="000A536E" w:rsidRPr="00E72A2F" w:rsidRDefault="000A536E" w:rsidP="000A536E">
      <w:pPr>
        <w:jc w:val="center"/>
        <w:rPr>
          <w:rFonts w:ascii="Times New Roman" w:hAnsi="Times New Roman"/>
          <w:b/>
          <w:bCs/>
          <w:sz w:val="24"/>
          <w:szCs w:val="24"/>
        </w:rPr>
      </w:pPr>
    </w:p>
    <w:p w14:paraId="136F0DB6" w14:textId="77777777" w:rsidR="000A536E" w:rsidRPr="00E72A2F" w:rsidRDefault="000A536E" w:rsidP="000A536E">
      <w:pPr>
        <w:pStyle w:val="Default"/>
        <w:jc w:val="right"/>
      </w:pPr>
      <w:r w:rsidRPr="00E72A2F">
        <w:t>APSTIPRINĀTI</w:t>
      </w:r>
    </w:p>
    <w:p w14:paraId="266DC780" w14:textId="77777777" w:rsidR="000A536E" w:rsidRPr="00E72A2F" w:rsidRDefault="000A536E" w:rsidP="000A536E">
      <w:pPr>
        <w:pStyle w:val="Default"/>
        <w:jc w:val="right"/>
      </w:pPr>
      <w:r w:rsidRPr="00E72A2F">
        <w:t>ar Dobeles novada domes</w:t>
      </w:r>
    </w:p>
    <w:p w14:paraId="5C8B3ECF" w14:textId="572B5568" w:rsidR="000A536E" w:rsidRPr="00E72A2F" w:rsidRDefault="000A536E" w:rsidP="000A536E">
      <w:pPr>
        <w:pStyle w:val="Default"/>
        <w:jc w:val="right"/>
      </w:pPr>
      <w:r w:rsidRPr="00E72A2F">
        <w:t xml:space="preserve">2022. gada </w:t>
      </w:r>
      <w:r>
        <w:t>26. maija</w:t>
      </w:r>
      <w:r w:rsidRPr="00E72A2F">
        <w:t xml:space="preserve"> lēmumu Nr.</w:t>
      </w:r>
      <w:r w:rsidR="003C45E6">
        <w:t>268</w:t>
      </w:r>
      <w:r w:rsidRPr="00E72A2F">
        <w:t>/</w:t>
      </w:r>
      <w:r>
        <w:t>9</w:t>
      </w:r>
    </w:p>
    <w:p w14:paraId="64F565B6" w14:textId="77777777" w:rsidR="000A536E" w:rsidRPr="00E72A2F" w:rsidRDefault="000A536E" w:rsidP="000A536E">
      <w:pPr>
        <w:pStyle w:val="NoSpacing"/>
        <w:jc w:val="center"/>
        <w:rPr>
          <w:b/>
        </w:rPr>
      </w:pPr>
    </w:p>
    <w:p w14:paraId="354BE124" w14:textId="77777777" w:rsidR="000A536E" w:rsidRPr="00E72A2F" w:rsidRDefault="000A536E" w:rsidP="000A536E">
      <w:pPr>
        <w:pStyle w:val="NoSpacing"/>
        <w:jc w:val="both"/>
        <w:rPr>
          <w:b/>
        </w:rPr>
      </w:pPr>
    </w:p>
    <w:p w14:paraId="54C41D52" w14:textId="77777777" w:rsidR="003C45E6" w:rsidRDefault="000A536E" w:rsidP="000A536E">
      <w:pPr>
        <w:pStyle w:val="NoSpacing"/>
        <w:jc w:val="both"/>
        <w:rPr>
          <w:b/>
        </w:rPr>
      </w:pPr>
      <w:r w:rsidRPr="00E72A2F">
        <w:rPr>
          <w:b/>
        </w:rPr>
        <w:t xml:space="preserve">2022. gada </w:t>
      </w:r>
      <w:r>
        <w:rPr>
          <w:b/>
        </w:rPr>
        <w:t>26. maijā</w:t>
      </w:r>
      <w:r w:rsidRPr="00E72A2F">
        <w:rPr>
          <w:b/>
        </w:rPr>
        <w:tab/>
      </w:r>
      <w:r w:rsidRPr="00E72A2F">
        <w:rPr>
          <w:b/>
        </w:rPr>
        <w:tab/>
      </w:r>
    </w:p>
    <w:p w14:paraId="276C7EB7" w14:textId="77777777" w:rsidR="003C45E6" w:rsidRDefault="003C45E6" w:rsidP="000A536E">
      <w:pPr>
        <w:pStyle w:val="NoSpacing"/>
        <w:jc w:val="both"/>
        <w:rPr>
          <w:b/>
        </w:rPr>
      </w:pPr>
    </w:p>
    <w:p w14:paraId="3B08FCBE" w14:textId="2EF827C0" w:rsidR="000A536E" w:rsidRPr="003C45E6" w:rsidRDefault="000A536E" w:rsidP="003C45E6">
      <w:pPr>
        <w:pStyle w:val="NoSpacing"/>
        <w:jc w:val="center"/>
        <w:rPr>
          <w:b/>
          <w:sz w:val="28"/>
          <w:szCs w:val="28"/>
        </w:rPr>
      </w:pPr>
      <w:r w:rsidRPr="003C45E6">
        <w:rPr>
          <w:b/>
          <w:sz w:val="28"/>
          <w:szCs w:val="28"/>
        </w:rPr>
        <w:t>Noteikumi</w:t>
      </w:r>
    </w:p>
    <w:p w14:paraId="52F9F17F" w14:textId="77777777" w:rsidR="003C45E6" w:rsidRDefault="003C45E6" w:rsidP="000A536E">
      <w:pPr>
        <w:jc w:val="center"/>
        <w:rPr>
          <w:rFonts w:ascii="Times New Roman" w:hAnsi="Times New Roman"/>
          <w:b/>
          <w:bCs/>
          <w:sz w:val="24"/>
          <w:szCs w:val="24"/>
        </w:rPr>
      </w:pPr>
    </w:p>
    <w:p w14:paraId="1A3A642F" w14:textId="0119B9CF" w:rsidR="000A536E" w:rsidRPr="003C45E6" w:rsidRDefault="000A536E" w:rsidP="000A536E">
      <w:pPr>
        <w:jc w:val="center"/>
        <w:rPr>
          <w:rFonts w:ascii="Times New Roman" w:hAnsi="Times New Roman"/>
          <w:b/>
          <w:bCs/>
          <w:sz w:val="28"/>
          <w:szCs w:val="28"/>
        </w:rPr>
      </w:pPr>
      <w:r w:rsidRPr="003C45E6">
        <w:rPr>
          <w:rFonts w:ascii="Times New Roman" w:hAnsi="Times New Roman"/>
          <w:b/>
          <w:bCs/>
          <w:sz w:val="28"/>
          <w:szCs w:val="28"/>
        </w:rPr>
        <w:t xml:space="preserve">Kārtība, kādā  Dobeles novada pašvaldības kapitālsabiedrību valdes locekļi ieceļami amatā  uz nākamo pilnvaru termiņu </w:t>
      </w:r>
    </w:p>
    <w:p w14:paraId="4D22316C" w14:textId="77777777" w:rsidR="000A536E" w:rsidRPr="00E72A2F" w:rsidRDefault="000A536E" w:rsidP="000A536E">
      <w:pPr>
        <w:jc w:val="center"/>
        <w:rPr>
          <w:rFonts w:ascii="Times New Roman" w:hAnsi="Times New Roman"/>
          <w:sz w:val="24"/>
          <w:szCs w:val="24"/>
        </w:rPr>
      </w:pPr>
    </w:p>
    <w:p w14:paraId="33CEC79D" w14:textId="77777777" w:rsidR="000A536E" w:rsidRPr="00E72A2F" w:rsidRDefault="000A536E" w:rsidP="000A536E">
      <w:pPr>
        <w:spacing w:after="0" w:line="240" w:lineRule="auto"/>
        <w:ind w:left="5528"/>
        <w:jc w:val="right"/>
        <w:rPr>
          <w:rFonts w:ascii="Times New Roman" w:hAnsi="Times New Roman"/>
          <w:i/>
          <w:iCs/>
          <w:sz w:val="24"/>
          <w:szCs w:val="24"/>
        </w:rPr>
      </w:pPr>
      <w:r w:rsidRPr="00E72A2F">
        <w:rPr>
          <w:rFonts w:ascii="Times New Roman" w:hAnsi="Times New Roman"/>
          <w:i/>
          <w:iCs/>
          <w:sz w:val="24"/>
          <w:szCs w:val="24"/>
        </w:rPr>
        <w:t xml:space="preserve">Izdoti saskaņā ar </w:t>
      </w:r>
    </w:p>
    <w:p w14:paraId="1ECCA189" w14:textId="77777777" w:rsidR="000A536E" w:rsidRPr="00E72A2F" w:rsidRDefault="000A536E" w:rsidP="000A536E">
      <w:pPr>
        <w:spacing w:after="0" w:line="240" w:lineRule="auto"/>
        <w:ind w:left="5528"/>
        <w:jc w:val="right"/>
        <w:rPr>
          <w:rFonts w:ascii="Times New Roman" w:hAnsi="Times New Roman"/>
          <w:i/>
          <w:iCs/>
          <w:sz w:val="24"/>
          <w:szCs w:val="24"/>
        </w:rPr>
      </w:pPr>
      <w:r w:rsidRPr="00E72A2F">
        <w:rPr>
          <w:rFonts w:ascii="Times New Roman" w:hAnsi="Times New Roman"/>
          <w:i/>
          <w:iCs/>
          <w:sz w:val="24"/>
          <w:szCs w:val="24"/>
        </w:rPr>
        <w:t xml:space="preserve">Publiskas personas kapitāla daļu un kapitālsabiedrību pārvaldības likuma 37.panta astotās daļas 1.punktu </w:t>
      </w:r>
    </w:p>
    <w:p w14:paraId="2B5DD3E5" w14:textId="77777777" w:rsidR="000A536E" w:rsidRPr="00E72A2F" w:rsidRDefault="000A536E" w:rsidP="000A536E">
      <w:pPr>
        <w:ind w:left="5529"/>
        <w:rPr>
          <w:rFonts w:ascii="Times New Roman" w:hAnsi="Times New Roman"/>
          <w:sz w:val="24"/>
          <w:szCs w:val="24"/>
        </w:rPr>
      </w:pPr>
    </w:p>
    <w:p w14:paraId="4996CAD6" w14:textId="77777777" w:rsidR="000A536E" w:rsidRPr="00E72A2F" w:rsidRDefault="000A536E" w:rsidP="000A536E">
      <w:pPr>
        <w:ind w:left="5529"/>
        <w:rPr>
          <w:rFonts w:ascii="Times New Roman" w:hAnsi="Times New Roman"/>
          <w:sz w:val="24"/>
          <w:szCs w:val="24"/>
        </w:rPr>
      </w:pPr>
    </w:p>
    <w:p w14:paraId="38F05AFE" w14:textId="77777777" w:rsidR="000A536E" w:rsidRPr="00E72A2F" w:rsidRDefault="000A536E" w:rsidP="000A536E">
      <w:pPr>
        <w:pStyle w:val="ListParagraph"/>
        <w:ind w:left="1800"/>
        <w:rPr>
          <w:rFonts w:ascii="Times New Roman" w:hAnsi="Times New Roman" w:cs="Times New Roman"/>
          <w:b/>
          <w:bCs/>
          <w:sz w:val="24"/>
          <w:szCs w:val="24"/>
        </w:rPr>
      </w:pPr>
    </w:p>
    <w:p w14:paraId="77DFA7A6"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 xml:space="preserve">Noteikumi nosaka kārtību, kādā Dobeles novada pašvaldības (turpmāk – Pašvaldība) kapitālsabiedrību valdes locekļi pēc tam, kad beidzies ar viņu pilnvaru termiņš, ieceļami amatā uz nākamo pilnvaru termiņu. </w:t>
      </w:r>
    </w:p>
    <w:p w14:paraId="5A2F824A" w14:textId="77777777" w:rsidR="000A536E" w:rsidRPr="00E72A2F" w:rsidRDefault="000A536E" w:rsidP="000A536E">
      <w:pPr>
        <w:spacing w:after="0" w:line="240" w:lineRule="auto"/>
        <w:ind w:left="142"/>
        <w:jc w:val="both"/>
        <w:rPr>
          <w:rFonts w:ascii="Times New Roman" w:hAnsi="Times New Roman"/>
          <w:sz w:val="24"/>
          <w:szCs w:val="24"/>
        </w:rPr>
      </w:pPr>
    </w:p>
    <w:p w14:paraId="6BA63BCE"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 xml:space="preserve">Noteikumu mērķis ir nodrošināt profesionālu Pašvaldības kapitālsabiedrību pārvaldību, racionālu un ekonomiski pamatotu to resursu izmantošanu, ieceļot amatā uz nākamo pilnvaru termiņu valdes locekļus, kuri iepriekšējā pilnvaru termiņā ir sasnieguši teicamus vai ļoti labus profesionālās darbības rezultātus, nepiemērojot nominācijas procedūru. </w:t>
      </w:r>
    </w:p>
    <w:p w14:paraId="63512F64" w14:textId="77777777" w:rsidR="000A536E" w:rsidRPr="00E72A2F" w:rsidRDefault="000A536E" w:rsidP="000A536E">
      <w:pPr>
        <w:pStyle w:val="ListParagraph"/>
        <w:spacing w:after="0" w:line="240" w:lineRule="auto"/>
        <w:ind w:left="142"/>
        <w:rPr>
          <w:rFonts w:ascii="Times New Roman" w:hAnsi="Times New Roman" w:cs="Times New Roman"/>
          <w:sz w:val="24"/>
          <w:szCs w:val="24"/>
        </w:rPr>
      </w:pPr>
    </w:p>
    <w:p w14:paraId="3C93FC59"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 xml:space="preserve">Uz nākamo pilnvaru termiņu netiek virzīts valdes loceklis : </w:t>
      </w:r>
    </w:p>
    <w:p w14:paraId="1444C730" w14:textId="77777777" w:rsidR="000A536E" w:rsidRPr="00E72A2F" w:rsidRDefault="000A536E" w:rsidP="000A536E">
      <w:pPr>
        <w:spacing w:after="0" w:line="240" w:lineRule="auto"/>
        <w:ind w:left="851"/>
        <w:jc w:val="both"/>
        <w:rPr>
          <w:rFonts w:ascii="Times New Roman" w:hAnsi="Times New Roman"/>
          <w:sz w:val="24"/>
          <w:szCs w:val="24"/>
        </w:rPr>
      </w:pPr>
      <w:r w:rsidRPr="00E72A2F">
        <w:rPr>
          <w:rFonts w:ascii="Times New Roman" w:hAnsi="Times New Roman"/>
          <w:sz w:val="24"/>
          <w:szCs w:val="24"/>
        </w:rPr>
        <w:t>1) kuram nav augstākās izglītības;</w:t>
      </w:r>
    </w:p>
    <w:p w14:paraId="2D9A42A6" w14:textId="77777777" w:rsidR="000A536E" w:rsidRPr="00E72A2F" w:rsidRDefault="000A536E" w:rsidP="000A536E">
      <w:pPr>
        <w:spacing w:after="0" w:line="240" w:lineRule="auto"/>
        <w:ind w:left="851"/>
        <w:jc w:val="both"/>
        <w:rPr>
          <w:rFonts w:ascii="Times New Roman" w:hAnsi="Times New Roman"/>
          <w:sz w:val="24"/>
          <w:szCs w:val="24"/>
        </w:rPr>
      </w:pPr>
      <w:r w:rsidRPr="00E72A2F">
        <w:rPr>
          <w:rFonts w:ascii="Times New Roman" w:hAnsi="Times New Roman"/>
          <w:sz w:val="24"/>
          <w:szCs w:val="24"/>
        </w:rPr>
        <w:lastRenderedPageBreak/>
        <w:t>2) kurš ir sodīts par tīšu noziedzīgu nodarījumu, ja sodāmība par to nav noņemta vai dzēsta;</w:t>
      </w:r>
    </w:p>
    <w:p w14:paraId="11FB955A" w14:textId="77777777" w:rsidR="000A536E" w:rsidRPr="00E72A2F" w:rsidRDefault="000A536E" w:rsidP="000A536E">
      <w:pPr>
        <w:spacing w:after="0" w:line="240" w:lineRule="auto"/>
        <w:ind w:left="851"/>
        <w:jc w:val="both"/>
        <w:rPr>
          <w:rFonts w:ascii="Times New Roman" w:hAnsi="Times New Roman"/>
          <w:sz w:val="24"/>
          <w:szCs w:val="24"/>
        </w:rPr>
      </w:pPr>
      <w:r w:rsidRPr="00E72A2F">
        <w:rPr>
          <w:rFonts w:ascii="Times New Roman" w:hAnsi="Times New Roman"/>
          <w:sz w:val="24"/>
          <w:szCs w:val="24"/>
        </w:rPr>
        <w:t>3) kuram, pamatojoties uz kriminālprocesa ietvaros pieņemtu nolēmumu, ir atņemtas tiesības veikt noteiktu vai visu veidu komercdarbību vai citu profesionālo darbību;</w:t>
      </w:r>
    </w:p>
    <w:p w14:paraId="7B9D5643" w14:textId="77777777" w:rsidR="000A536E" w:rsidRPr="00E72A2F" w:rsidRDefault="000A536E" w:rsidP="000A536E">
      <w:pPr>
        <w:spacing w:after="0" w:line="240" w:lineRule="auto"/>
        <w:ind w:left="851"/>
        <w:jc w:val="both"/>
        <w:rPr>
          <w:rFonts w:ascii="Times New Roman" w:hAnsi="Times New Roman"/>
          <w:sz w:val="24"/>
          <w:szCs w:val="24"/>
        </w:rPr>
      </w:pPr>
      <w:r w:rsidRPr="00E72A2F">
        <w:rPr>
          <w:rFonts w:ascii="Times New Roman" w:hAnsi="Times New Roman"/>
          <w:sz w:val="24"/>
          <w:szCs w:val="24"/>
        </w:rPr>
        <w:t>4) par kuru ir pasludināts maksātnespējas process;</w:t>
      </w:r>
    </w:p>
    <w:p w14:paraId="5E034DDC" w14:textId="77777777" w:rsidR="000A536E" w:rsidRPr="00E72A2F" w:rsidRDefault="000A536E" w:rsidP="000A536E">
      <w:pPr>
        <w:spacing w:after="0" w:line="240" w:lineRule="auto"/>
        <w:ind w:left="851"/>
        <w:jc w:val="both"/>
        <w:rPr>
          <w:rFonts w:ascii="Times New Roman" w:hAnsi="Times New Roman"/>
          <w:sz w:val="24"/>
          <w:szCs w:val="24"/>
        </w:rPr>
      </w:pPr>
      <w:r w:rsidRPr="00E72A2F">
        <w:rPr>
          <w:rFonts w:ascii="Times New Roman" w:hAnsi="Times New Roman"/>
          <w:sz w:val="24"/>
          <w:szCs w:val="24"/>
        </w:rPr>
        <w:t>5) kurš ir vai pēdējo 24 mēnešu laikā ir bijis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3FCEE523" w14:textId="77777777" w:rsidR="000A536E" w:rsidRPr="00E72A2F" w:rsidRDefault="000A536E" w:rsidP="000A536E">
      <w:pPr>
        <w:spacing w:after="0" w:line="240" w:lineRule="auto"/>
        <w:rPr>
          <w:rFonts w:ascii="Times New Roman" w:hAnsi="Times New Roman"/>
          <w:sz w:val="24"/>
          <w:szCs w:val="24"/>
        </w:rPr>
      </w:pPr>
    </w:p>
    <w:p w14:paraId="7F393EFC"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 xml:space="preserve">Kritērijs valdes locekļa iecelšanai amatā uz nākamo pilnvaru termiņu ir valdes loceklim izvirzīto mērķu sasniegšanas  un kompetenču konkrētajā amatā kapitālsabiedrībā novērtējums, kas atbilst šajos noteikumos noteiktajam. </w:t>
      </w:r>
    </w:p>
    <w:p w14:paraId="5232507E" w14:textId="77777777" w:rsidR="000A536E" w:rsidRPr="00E72A2F" w:rsidRDefault="000A536E" w:rsidP="000A536E">
      <w:pPr>
        <w:pStyle w:val="ListParagraph"/>
        <w:spacing w:after="0" w:line="240" w:lineRule="auto"/>
        <w:ind w:left="142"/>
        <w:jc w:val="both"/>
        <w:rPr>
          <w:rFonts w:ascii="Times New Roman" w:hAnsi="Times New Roman" w:cs="Times New Roman"/>
          <w:sz w:val="24"/>
          <w:szCs w:val="24"/>
        </w:rPr>
      </w:pPr>
    </w:p>
    <w:p w14:paraId="6F46D0DB"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Valdes locekļa individuālo izvērtēšanu veic Dobeles novada pašvaldības izpilddirektora noteikta izvērtēšanas komisija, piemērojot Valdes locekļa darbības rezultātu novērtēšanas veidlapu (1. pielikums).</w:t>
      </w:r>
    </w:p>
    <w:p w14:paraId="0AC74EA8" w14:textId="77777777" w:rsidR="000A536E" w:rsidRPr="00E72A2F" w:rsidRDefault="000A536E" w:rsidP="000A536E">
      <w:pPr>
        <w:pStyle w:val="ListParagraph"/>
        <w:spacing w:after="0" w:line="240" w:lineRule="auto"/>
        <w:rPr>
          <w:rFonts w:ascii="Times New Roman" w:hAnsi="Times New Roman" w:cs="Times New Roman"/>
          <w:sz w:val="24"/>
          <w:szCs w:val="24"/>
        </w:rPr>
      </w:pPr>
    </w:p>
    <w:p w14:paraId="1B21487E"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 xml:space="preserve">Izvērtēšanas komisijā iekļauj vismaz trīs pārstāvjus ar balsstiesībām ar atbilstošu pieredzi: </w:t>
      </w:r>
    </w:p>
    <w:p w14:paraId="66E6CBDC" w14:textId="77777777" w:rsidR="000A536E" w:rsidRPr="00E72A2F" w:rsidRDefault="000A536E" w:rsidP="000A536E">
      <w:pPr>
        <w:spacing w:after="0" w:line="240" w:lineRule="auto"/>
        <w:ind w:left="993" w:hanging="284"/>
        <w:jc w:val="both"/>
        <w:rPr>
          <w:rFonts w:ascii="Times New Roman" w:hAnsi="Times New Roman"/>
          <w:sz w:val="24"/>
          <w:szCs w:val="24"/>
        </w:rPr>
      </w:pPr>
      <w:r w:rsidRPr="00E72A2F">
        <w:rPr>
          <w:rFonts w:ascii="Times New Roman" w:hAnsi="Times New Roman"/>
          <w:sz w:val="24"/>
          <w:szCs w:val="24"/>
        </w:rPr>
        <w:t xml:space="preserve">1) personāla vadības, atlases un kompetences novērtēšanas jomā; </w:t>
      </w:r>
    </w:p>
    <w:p w14:paraId="3F2798B4" w14:textId="77777777" w:rsidR="000A536E" w:rsidRPr="00E72A2F" w:rsidRDefault="000A536E" w:rsidP="000A536E">
      <w:pPr>
        <w:spacing w:after="0" w:line="240" w:lineRule="auto"/>
        <w:ind w:left="993" w:hanging="284"/>
        <w:jc w:val="both"/>
        <w:rPr>
          <w:rFonts w:ascii="Times New Roman" w:hAnsi="Times New Roman"/>
          <w:sz w:val="24"/>
          <w:szCs w:val="24"/>
        </w:rPr>
      </w:pPr>
      <w:r w:rsidRPr="00E72A2F">
        <w:rPr>
          <w:rFonts w:ascii="Times New Roman" w:hAnsi="Times New Roman"/>
          <w:sz w:val="24"/>
          <w:szCs w:val="24"/>
        </w:rPr>
        <w:t xml:space="preserve">2) kapitālsabiedrību un aktīvu pārvaldības vai kapitālsabiedrības darbības jomā. </w:t>
      </w:r>
    </w:p>
    <w:p w14:paraId="6D1A0CCD" w14:textId="77777777" w:rsidR="000A536E" w:rsidRPr="00E72A2F" w:rsidRDefault="000A536E" w:rsidP="000A536E">
      <w:pPr>
        <w:spacing w:after="0" w:line="240" w:lineRule="auto"/>
        <w:jc w:val="both"/>
        <w:rPr>
          <w:rFonts w:ascii="Times New Roman" w:hAnsi="Times New Roman"/>
          <w:sz w:val="24"/>
          <w:szCs w:val="24"/>
        </w:rPr>
      </w:pPr>
    </w:p>
    <w:p w14:paraId="1B6A0564"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Lai novērtētu valdes locekļa sasniegtos rezultātus, mērķiem un kompetencēm nosaka būtiskumu valdes locekļa vērtējumā procentuāli. Ņemot vērā iegūto punktu skaitu, nosaka valdes locekļa darbības rezultātu. Valdes locekļa darbības rezultātus novērtē, izmantojot šādu vērtēšanas skalu – 5 punkti jeb “teicami (pārsniedz prasības)”, 4 punkti – “ļoti labi (daļēji pārsniedz prasības)”, 3 punkti – “labi (atbilst prasībām)”, 2 punkti – “jāpilnveido (daļēji atbilst prasībām)”, 1 punkts – “neapmierinoši (neatbilst prasībām)”.</w:t>
      </w:r>
    </w:p>
    <w:p w14:paraId="4D5D9CFA" w14:textId="77777777" w:rsidR="000A536E" w:rsidRPr="00E72A2F" w:rsidRDefault="000A536E" w:rsidP="000A536E">
      <w:pPr>
        <w:pStyle w:val="ListParagraph"/>
        <w:spacing w:after="0" w:line="240" w:lineRule="auto"/>
        <w:ind w:left="780"/>
        <w:jc w:val="both"/>
        <w:rPr>
          <w:rFonts w:ascii="Times New Roman" w:hAnsi="Times New Roman" w:cs="Times New Roman"/>
          <w:sz w:val="24"/>
          <w:szCs w:val="24"/>
        </w:rPr>
      </w:pPr>
      <w:r w:rsidRPr="00E72A2F">
        <w:rPr>
          <w:rFonts w:ascii="Times New Roman" w:hAnsi="Times New Roman" w:cs="Times New Roman"/>
          <w:sz w:val="24"/>
          <w:szCs w:val="24"/>
        </w:rPr>
        <w:t xml:space="preserve"> </w:t>
      </w:r>
    </w:p>
    <w:p w14:paraId="1B5BFFE2"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Valdes locekli ieceļ amatā uz nākamo termiņu, ja valdes loceklis novērtējumā ir saņēmis ne mazāk par 4 punktiem (5 punktus jeb “teicami (pārsniedz prasības)” vai 4 punktus – “ļoti labi (daļēji pārsniedz prasības)”.</w:t>
      </w:r>
    </w:p>
    <w:p w14:paraId="33744B82" w14:textId="77777777" w:rsidR="000A536E" w:rsidRPr="00E72A2F" w:rsidRDefault="000A536E" w:rsidP="000A536E">
      <w:pPr>
        <w:pStyle w:val="ListParagraph"/>
        <w:spacing w:after="0" w:line="240" w:lineRule="auto"/>
        <w:rPr>
          <w:rFonts w:ascii="Times New Roman" w:hAnsi="Times New Roman" w:cs="Times New Roman"/>
          <w:sz w:val="24"/>
          <w:szCs w:val="24"/>
        </w:rPr>
      </w:pPr>
    </w:p>
    <w:p w14:paraId="0F817BDE"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 xml:space="preserve">Pašvaldības izpilddirektoram, kurš ir kapitālsabiedrības kapitāla daļu turētāja pārstāvis un pilda kapitālsabiedrības dalībnieku sapulces funkcijas, ir tiesības neiecelt amatā uz nākamo pilnvaru termiņu valdes locekli, kurš ir saņēmis šo noteikumu 7.punktā noteikto novērtējumu, ja: </w:t>
      </w:r>
    </w:p>
    <w:p w14:paraId="7579AB9E" w14:textId="77777777" w:rsidR="000A536E" w:rsidRPr="00E72A2F" w:rsidRDefault="000A536E" w:rsidP="000A536E">
      <w:pPr>
        <w:spacing w:after="0" w:line="240" w:lineRule="auto"/>
        <w:ind w:left="426"/>
        <w:rPr>
          <w:rFonts w:ascii="Times New Roman" w:hAnsi="Times New Roman"/>
          <w:sz w:val="24"/>
          <w:szCs w:val="24"/>
        </w:rPr>
      </w:pPr>
      <w:r w:rsidRPr="00E72A2F">
        <w:rPr>
          <w:rFonts w:ascii="Times New Roman" w:hAnsi="Times New Roman"/>
          <w:sz w:val="24"/>
          <w:szCs w:val="24"/>
        </w:rPr>
        <w:t>1) viņam ir pamatotas šaubas par valdes locekļa nevainojamu reputāciju;</w:t>
      </w:r>
    </w:p>
    <w:p w14:paraId="57B9C089" w14:textId="77777777" w:rsidR="000A536E" w:rsidRPr="00E72A2F" w:rsidRDefault="000A536E" w:rsidP="000A536E">
      <w:pPr>
        <w:spacing w:after="0" w:line="240" w:lineRule="auto"/>
        <w:ind w:left="426"/>
        <w:jc w:val="both"/>
        <w:rPr>
          <w:rFonts w:ascii="Times New Roman" w:hAnsi="Times New Roman"/>
          <w:sz w:val="24"/>
          <w:szCs w:val="24"/>
        </w:rPr>
      </w:pPr>
      <w:r w:rsidRPr="00E72A2F">
        <w:rPr>
          <w:rFonts w:ascii="Times New Roman" w:hAnsi="Times New Roman"/>
          <w:sz w:val="24"/>
          <w:szCs w:val="24"/>
        </w:rPr>
        <w:t xml:space="preserve">2) viņa rīcībā ir cita informācija, kas Publiskas personas kapitāla daļu un kapitālsabiedrību pārvaldības likuma izpratnē ir uzskatāma par svarīgu iemeslu valdes locekļa atsaukšanai no amata. </w:t>
      </w:r>
    </w:p>
    <w:p w14:paraId="0C1C3698" w14:textId="77777777" w:rsidR="000A536E" w:rsidRPr="00E72A2F" w:rsidRDefault="000A536E" w:rsidP="000A536E">
      <w:pPr>
        <w:spacing w:after="0" w:line="240" w:lineRule="auto"/>
        <w:ind w:left="426"/>
        <w:jc w:val="both"/>
        <w:rPr>
          <w:rFonts w:ascii="Times New Roman" w:hAnsi="Times New Roman"/>
          <w:sz w:val="24"/>
          <w:szCs w:val="24"/>
        </w:rPr>
      </w:pPr>
    </w:p>
    <w:p w14:paraId="31670B22" w14:textId="77777777" w:rsidR="000A536E" w:rsidRPr="00E72A2F" w:rsidRDefault="000A536E" w:rsidP="000A536E">
      <w:pPr>
        <w:pStyle w:val="ListParagraph"/>
        <w:numPr>
          <w:ilvl w:val="0"/>
          <w:numId w:val="1"/>
        </w:numPr>
        <w:spacing w:after="0" w:line="240" w:lineRule="auto"/>
        <w:ind w:left="142"/>
        <w:jc w:val="both"/>
        <w:rPr>
          <w:rFonts w:ascii="Times New Roman" w:hAnsi="Times New Roman" w:cs="Times New Roman"/>
          <w:sz w:val="24"/>
          <w:szCs w:val="24"/>
        </w:rPr>
      </w:pPr>
      <w:r w:rsidRPr="00E72A2F">
        <w:rPr>
          <w:rFonts w:ascii="Times New Roman" w:hAnsi="Times New Roman" w:cs="Times New Roman"/>
          <w:sz w:val="24"/>
          <w:szCs w:val="24"/>
        </w:rPr>
        <w:t xml:space="preserve">Ja saskaņā ar šo noteikumu 9.punktu Pašvaldības izpilddirektors  neieceļ valdes locekli amatā uz nākamo pilnvaru termiņu, viņš triju darbdienu laikā publicē pašvaldības tīmekļa vietnē attiecīgu paziņojumu par nominācijas procesa uzsākšanu. </w:t>
      </w:r>
    </w:p>
    <w:p w14:paraId="5922EDBE" w14:textId="77777777" w:rsidR="000A536E" w:rsidRPr="00E72A2F" w:rsidRDefault="000A536E" w:rsidP="000A536E">
      <w:pPr>
        <w:spacing w:after="0" w:line="240" w:lineRule="auto"/>
        <w:rPr>
          <w:rFonts w:ascii="Times New Roman" w:hAnsi="Times New Roman"/>
          <w:sz w:val="24"/>
          <w:szCs w:val="24"/>
        </w:rPr>
      </w:pPr>
    </w:p>
    <w:p w14:paraId="2C077C6C" w14:textId="77777777" w:rsidR="000A536E" w:rsidRPr="00E72A2F" w:rsidRDefault="000A536E" w:rsidP="000A536E">
      <w:pPr>
        <w:spacing w:after="0" w:line="240" w:lineRule="auto"/>
        <w:rPr>
          <w:rFonts w:ascii="Times New Roman" w:hAnsi="Times New Roman"/>
          <w:sz w:val="24"/>
          <w:szCs w:val="24"/>
        </w:rPr>
      </w:pPr>
    </w:p>
    <w:p w14:paraId="363D1260" w14:textId="77777777" w:rsidR="000A536E" w:rsidRPr="00E72A2F" w:rsidRDefault="000A536E" w:rsidP="000A536E">
      <w:pPr>
        <w:spacing w:after="0" w:line="240" w:lineRule="auto"/>
        <w:rPr>
          <w:rFonts w:ascii="Times New Roman" w:hAnsi="Times New Roman"/>
          <w:sz w:val="24"/>
          <w:szCs w:val="24"/>
        </w:rPr>
      </w:pPr>
      <w:r w:rsidRPr="00E72A2F">
        <w:rPr>
          <w:rFonts w:ascii="Times New Roman" w:hAnsi="Times New Roman"/>
          <w:sz w:val="24"/>
          <w:szCs w:val="24"/>
        </w:rPr>
        <w:t xml:space="preserve">Dobeles novada domes priekšsēdētājs </w:t>
      </w:r>
      <w:r w:rsidRPr="00E72A2F">
        <w:rPr>
          <w:rFonts w:ascii="Times New Roman" w:hAnsi="Times New Roman"/>
          <w:sz w:val="24"/>
          <w:szCs w:val="24"/>
        </w:rPr>
        <w:tab/>
      </w:r>
      <w:r w:rsidRPr="00E72A2F">
        <w:rPr>
          <w:rFonts w:ascii="Times New Roman" w:hAnsi="Times New Roman"/>
          <w:sz w:val="24"/>
          <w:szCs w:val="24"/>
        </w:rPr>
        <w:tab/>
      </w:r>
      <w:r w:rsidRPr="00E72A2F">
        <w:rPr>
          <w:rFonts w:ascii="Times New Roman" w:hAnsi="Times New Roman"/>
          <w:sz w:val="24"/>
          <w:szCs w:val="24"/>
        </w:rPr>
        <w:tab/>
      </w:r>
      <w:r w:rsidRPr="00E72A2F">
        <w:rPr>
          <w:rFonts w:ascii="Times New Roman" w:hAnsi="Times New Roman"/>
          <w:sz w:val="24"/>
          <w:szCs w:val="24"/>
        </w:rPr>
        <w:tab/>
      </w:r>
      <w:r w:rsidRPr="00E72A2F">
        <w:rPr>
          <w:rFonts w:ascii="Times New Roman" w:hAnsi="Times New Roman"/>
          <w:sz w:val="24"/>
          <w:szCs w:val="24"/>
        </w:rPr>
        <w:tab/>
      </w:r>
      <w:r w:rsidRPr="00E72A2F">
        <w:rPr>
          <w:rFonts w:ascii="Times New Roman" w:hAnsi="Times New Roman"/>
          <w:sz w:val="24"/>
          <w:szCs w:val="24"/>
        </w:rPr>
        <w:tab/>
        <w:t xml:space="preserve">  I.Gorskis</w:t>
      </w:r>
    </w:p>
    <w:p w14:paraId="5FF6D03A" w14:textId="77777777" w:rsidR="000A536E" w:rsidRPr="00E72A2F" w:rsidRDefault="000A536E" w:rsidP="000A536E">
      <w:pPr>
        <w:rPr>
          <w:rFonts w:ascii="Times New Roman" w:hAnsi="Times New Roman"/>
          <w:sz w:val="24"/>
          <w:szCs w:val="24"/>
        </w:rPr>
      </w:pPr>
    </w:p>
    <w:p w14:paraId="1A9F3BBB" w14:textId="77777777" w:rsidR="000A536E" w:rsidRPr="00E72A2F" w:rsidRDefault="000A536E" w:rsidP="000A536E">
      <w:pPr>
        <w:rPr>
          <w:rFonts w:ascii="Times New Roman" w:hAnsi="Times New Roman"/>
          <w:sz w:val="24"/>
          <w:szCs w:val="24"/>
        </w:rPr>
      </w:pPr>
    </w:p>
    <w:p w14:paraId="69C335AB" w14:textId="77777777" w:rsidR="000A536E" w:rsidRDefault="000A536E" w:rsidP="000A536E">
      <w:pPr>
        <w:ind w:left="5245"/>
        <w:jc w:val="right"/>
        <w:rPr>
          <w:rFonts w:ascii="Times New Roman" w:hAnsi="Times New Roman"/>
          <w:sz w:val="20"/>
          <w:szCs w:val="20"/>
        </w:rPr>
      </w:pPr>
    </w:p>
    <w:p w14:paraId="66EB02F6" w14:textId="1FA29304" w:rsidR="000A536E" w:rsidRPr="00B738A9" w:rsidRDefault="000A536E" w:rsidP="000A536E">
      <w:pPr>
        <w:ind w:left="5245"/>
        <w:jc w:val="right"/>
        <w:rPr>
          <w:rFonts w:ascii="Times New Roman" w:hAnsi="Times New Roman"/>
          <w:sz w:val="20"/>
          <w:szCs w:val="20"/>
        </w:rPr>
      </w:pPr>
      <w:r w:rsidRPr="00B738A9">
        <w:rPr>
          <w:rFonts w:ascii="Times New Roman" w:hAnsi="Times New Roman"/>
          <w:sz w:val="20"/>
          <w:szCs w:val="20"/>
        </w:rPr>
        <w:lastRenderedPageBreak/>
        <w:t>1.pielikums</w:t>
      </w:r>
    </w:p>
    <w:p w14:paraId="60DD818A" w14:textId="77777777" w:rsidR="000A536E" w:rsidRPr="00B738A9" w:rsidRDefault="000A536E" w:rsidP="000A536E">
      <w:pPr>
        <w:ind w:left="5245"/>
        <w:jc w:val="right"/>
        <w:rPr>
          <w:rFonts w:ascii="Times New Roman" w:hAnsi="Times New Roman"/>
          <w:b/>
          <w:bCs/>
          <w:sz w:val="20"/>
          <w:szCs w:val="20"/>
        </w:rPr>
      </w:pPr>
      <w:r w:rsidRPr="00B738A9">
        <w:rPr>
          <w:rFonts w:ascii="Times New Roman" w:hAnsi="Times New Roman"/>
          <w:sz w:val="20"/>
          <w:szCs w:val="20"/>
        </w:rPr>
        <w:t xml:space="preserve">Dobeles novada pašvaldības 2022.gada </w:t>
      </w:r>
      <w:r>
        <w:rPr>
          <w:rFonts w:ascii="Times New Roman" w:hAnsi="Times New Roman"/>
          <w:sz w:val="20"/>
          <w:szCs w:val="20"/>
        </w:rPr>
        <w:t>26</w:t>
      </w:r>
      <w:r w:rsidRPr="00B738A9">
        <w:rPr>
          <w:rFonts w:ascii="Times New Roman" w:hAnsi="Times New Roman"/>
          <w:sz w:val="20"/>
          <w:szCs w:val="20"/>
        </w:rPr>
        <w:t>.maija noteikumiem “Kārtība, kādā  Dobeles novada pašvaldības kapitālsabiedrību valdes locekļi ieceļami amatā  uz nākamo pilnvaru termiņu”</w:t>
      </w:r>
    </w:p>
    <w:p w14:paraId="2CBF7F33" w14:textId="77777777" w:rsidR="000A536E" w:rsidRPr="00B738A9" w:rsidRDefault="000A536E" w:rsidP="000A536E">
      <w:pPr>
        <w:spacing w:before="100" w:beforeAutospacing="1" w:after="100" w:afterAutospacing="1"/>
        <w:jc w:val="center"/>
        <w:rPr>
          <w:rFonts w:ascii="Times New Roman" w:hAnsi="Times New Roman"/>
        </w:rPr>
      </w:pPr>
      <w:r w:rsidRPr="00B738A9">
        <w:rPr>
          <w:rFonts w:ascii="Times New Roman" w:hAnsi="Times New Roman"/>
          <w:b/>
          <w:bCs/>
        </w:rPr>
        <w:t>Valdes locekļa darbības rezultātu novērtēšanas veidlapa</w:t>
      </w:r>
    </w:p>
    <w:p w14:paraId="497F88DD" w14:textId="77777777" w:rsidR="000A536E" w:rsidRPr="00B738A9" w:rsidRDefault="000A536E" w:rsidP="000A536E">
      <w:pPr>
        <w:spacing w:before="100" w:beforeAutospacing="1" w:after="100" w:afterAutospacing="1"/>
        <w:rPr>
          <w:rFonts w:ascii="Times New Roman" w:hAnsi="Times New Roman"/>
        </w:rPr>
      </w:pPr>
      <w:r w:rsidRPr="00B738A9">
        <w:rPr>
          <w:rFonts w:ascii="Times New Roman" w:hAnsi="Times New Roman"/>
          <w:b/>
          <w:bCs/>
        </w:rPr>
        <w:t xml:space="preserve">Valdes locekļa vārds, uzvārds ________________________________________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3"/>
        <w:gridCol w:w="2166"/>
        <w:gridCol w:w="2466"/>
        <w:gridCol w:w="2466"/>
      </w:tblGrid>
      <w:tr w:rsidR="000A536E" w:rsidRPr="00B738A9" w14:paraId="3449EA9F" w14:textId="77777777" w:rsidTr="00F52E9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26F1C" w14:textId="77777777" w:rsidR="000A536E" w:rsidRPr="00B738A9" w:rsidRDefault="000A536E" w:rsidP="00F52E94">
            <w:pPr>
              <w:spacing w:before="100" w:beforeAutospacing="1" w:after="100" w:afterAutospacing="1"/>
              <w:jc w:val="center"/>
              <w:rPr>
                <w:rFonts w:ascii="Times New Roman" w:hAnsi="Times New Roman"/>
              </w:rPr>
            </w:pPr>
            <w:r w:rsidRPr="00B738A9">
              <w:rPr>
                <w:rFonts w:ascii="Times New Roman" w:hAnsi="Times New Roman"/>
                <w:b/>
                <w:bCs/>
              </w:rPr>
              <w:t>Vērtējamais kritērijs, tā īpatsvars novērtējumā procentos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5D636F" w14:textId="77777777" w:rsidR="000A536E" w:rsidRPr="00B738A9" w:rsidRDefault="000A536E" w:rsidP="00F52E94">
            <w:pPr>
              <w:spacing w:before="100" w:beforeAutospacing="1" w:after="100" w:afterAutospacing="1"/>
              <w:jc w:val="center"/>
              <w:rPr>
                <w:rFonts w:ascii="Times New Roman" w:hAnsi="Times New Roman"/>
              </w:rPr>
            </w:pPr>
            <w:r w:rsidRPr="00B738A9">
              <w:rPr>
                <w:rFonts w:ascii="Times New Roman" w:hAnsi="Times New Roman"/>
                <w:b/>
                <w:bCs/>
              </w:rPr>
              <w:t>Valdes loceklim noteiktie vērtējamā kritērija atsevišķie lielumi, sasniedzamie rezultāti _____. gadā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C6022" w14:textId="77777777" w:rsidR="000A536E" w:rsidRPr="00B738A9" w:rsidRDefault="000A536E" w:rsidP="00F52E94">
            <w:pPr>
              <w:spacing w:before="100" w:beforeAutospacing="1" w:after="100" w:afterAutospacing="1"/>
              <w:jc w:val="center"/>
              <w:rPr>
                <w:rFonts w:ascii="Times New Roman" w:hAnsi="Times New Roman"/>
              </w:rPr>
            </w:pPr>
            <w:r w:rsidRPr="00B738A9">
              <w:rPr>
                <w:rFonts w:ascii="Times New Roman" w:hAnsi="Times New Roman"/>
                <w:b/>
                <w:bCs/>
              </w:rPr>
              <w:t>Valdes locekļa pašvērtējums (paskaidrojums, punktu skaits)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C0C4C8" w14:textId="77777777" w:rsidR="000A536E" w:rsidRPr="00B738A9" w:rsidRDefault="000A536E" w:rsidP="00F52E94">
            <w:pPr>
              <w:spacing w:before="100" w:beforeAutospacing="1" w:after="100" w:afterAutospacing="1"/>
              <w:jc w:val="center"/>
              <w:rPr>
                <w:rFonts w:ascii="Times New Roman" w:hAnsi="Times New Roman"/>
              </w:rPr>
            </w:pPr>
            <w:r w:rsidRPr="00B738A9">
              <w:rPr>
                <w:rFonts w:ascii="Times New Roman" w:hAnsi="Times New Roman"/>
                <w:b/>
                <w:bCs/>
              </w:rPr>
              <w:t>Padomes (komitejas)/ kapitāla daļu turētāja (akcionāra) vērtējums (paskaidrojums, punktu skaits)</w:t>
            </w:r>
          </w:p>
        </w:tc>
      </w:tr>
      <w:tr w:rsidR="000A536E" w:rsidRPr="00B738A9" w14:paraId="4E39BA40" w14:textId="77777777" w:rsidTr="00F52E9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BAB7EC"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b/>
                <w:bCs/>
              </w:rPr>
              <w:t xml:space="preserve">Mērķi, M (50%)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2E8A44"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1.</w:t>
            </w:r>
          </w:p>
          <w:p w14:paraId="347B08A7"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2.</w:t>
            </w:r>
          </w:p>
          <w:p w14:paraId="6F07C01D"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3.</w:t>
            </w:r>
          </w:p>
          <w:p w14:paraId="17620363"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4.</w:t>
            </w:r>
          </w:p>
          <w:p w14:paraId="2628A157"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5.</w:t>
            </w:r>
          </w:p>
          <w:p w14:paraId="7FC25F2B" w14:textId="77777777" w:rsidR="000A536E" w:rsidRPr="00B738A9" w:rsidRDefault="000A536E" w:rsidP="00F52E94">
            <w:pPr>
              <w:spacing w:before="100" w:beforeAutospacing="1" w:after="100" w:afterAutospacing="1"/>
              <w:ind w:left="720"/>
              <w:rPr>
                <w:rFonts w:ascii="Times New Roman" w:hAnsi="Times New Roman"/>
              </w:rPr>
            </w:pPr>
            <w:r w:rsidRPr="00B738A9">
              <w:rPr>
                <w:rFonts w:ascii="Times New Roman" w:hAnsi="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C9E948"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i/>
                <w:iCs/>
              </w:rPr>
              <w:t xml:space="preserve">Vērtējums 5 punktu skalā par katru mērķi, pēc tam aprēķina vidējo, dalot ar kopējo mērķu skaitu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76852"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i/>
                <w:iCs/>
              </w:rPr>
              <w:t xml:space="preserve">Vērtējums 5 punktu skalā par katru mērķi, pēc tam aprēķina vidējo, dalot ar kopējo mērķu skaitu </w:t>
            </w:r>
          </w:p>
        </w:tc>
      </w:tr>
      <w:tr w:rsidR="000A536E" w:rsidRPr="00B738A9" w14:paraId="3D2C87F6" w14:textId="77777777" w:rsidTr="00F52E9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AB0664"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b/>
                <w:bCs/>
              </w:rPr>
              <w:t xml:space="preserve">Kompetences, K (30%)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0EC58"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1.</w:t>
            </w:r>
          </w:p>
          <w:p w14:paraId="6517A06B"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2.</w:t>
            </w:r>
          </w:p>
          <w:p w14:paraId="56720867"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3.</w:t>
            </w:r>
          </w:p>
          <w:p w14:paraId="6FB947F5"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4.</w:t>
            </w:r>
          </w:p>
          <w:p w14:paraId="320A7B77" w14:textId="77777777" w:rsidR="000A536E" w:rsidRPr="00B738A9" w:rsidRDefault="000A536E" w:rsidP="00F52E94">
            <w:pPr>
              <w:spacing w:before="100" w:beforeAutospacing="1" w:after="100" w:afterAutospacing="1"/>
              <w:ind w:left="387"/>
              <w:rPr>
                <w:rFonts w:ascii="Times New Roman" w:hAnsi="Times New Roman"/>
              </w:rPr>
            </w:pPr>
            <w:r w:rsidRPr="00B738A9">
              <w:rPr>
                <w:rFonts w:ascii="Times New Roman" w:hAnsi="Times New Roman"/>
              </w:rPr>
              <w:t>5.</w:t>
            </w:r>
          </w:p>
          <w:p w14:paraId="572F48A4"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028F33"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i/>
                <w:iCs/>
              </w:rPr>
              <w:t xml:space="preserve">Vērtējums 5 punktu skalā par katru kompetenci, pēc tam aprēķina vidējo, dalot ar kopējo kompetenču skaitu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C6648"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i/>
                <w:iCs/>
              </w:rPr>
              <w:t xml:space="preserve">Vērtējums 5 punktu skalā par katru kompetenci, pēc tam aprēķina vidējo, dalot ar kopējo kompetenču skaitu </w:t>
            </w:r>
          </w:p>
        </w:tc>
      </w:tr>
      <w:tr w:rsidR="000A536E" w:rsidRPr="00B738A9" w14:paraId="3690D264" w14:textId="77777777" w:rsidTr="00F52E9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8BDDC"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b/>
                <w:bCs/>
              </w:rPr>
              <w:t xml:space="preserve">Citi rādītāji, R (likumā, pilnvarojuma līgumā noteiktās funkcijas) (20%)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48846C" w14:textId="77777777" w:rsidR="000A536E" w:rsidRPr="00B738A9" w:rsidRDefault="000A536E" w:rsidP="00F52E94">
            <w:pPr>
              <w:spacing w:before="100" w:beforeAutospacing="1" w:after="100" w:afterAutospacing="1"/>
              <w:ind w:left="443"/>
              <w:rPr>
                <w:rFonts w:ascii="Times New Roman" w:hAnsi="Times New Roman"/>
              </w:rPr>
            </w:pPr>
            <w:r w:rsidRPr="00B738A9">
              <w:rPr>
                <w:rFonts w:ascii="Times New Roman" w:hAnsi="Times New Roman"/>
              </w:rPr>
              <w:t>1.</w:t>
            </w:r>
          </w:p>
          <w:p w14:paraId="620D2BD4" w14:textId="77777777" w:rsidR="000A536E" w:rsidRPr="00B738A9" w:rsidRDefault="000A536E" w:rsidP="00F52E94">
            <w:pPr>
              <w:spacing w:before="100" w:beforeAutospacing="1" w:after="100" w:afterAutospacing="1"/>
              <w:ind w:left="443"/>
              <w:rPr>
                <w:rFonts w:ascii="Times New Roman" w:hAnsi="Times New Roman"/>
              </w:rPr>
            </w:pPr>
            <w:r w:rsidRPr="00B738A9">
              <w:rPr>
                <w:rFonts w:ascii="Times New Roman" w:hAnsi="Times New Roman"/>
              </w:rPr>
              <w:t>2.</w:t>
            </w:r>
          </w:p>
          <w:p w14:paraId="2E5742F4" w14:textId="77777777" w:rsidR="000A536E" w:rsidRPr="00B738A9" w:rsidRDefault="000A536E" w:rsidP="00F52E94">
            <w:pPr>
              <w:spacing w:before="100" w:beforeAutospacing="1" w:after="100" w:afterAutospacing="1"/>
              <w:ind w:left="443"/>
              <w:rPr>
                <w:rFonts w:ascii="Times New Roman" w:hAnsi="Times New Roman"/>
              </w:rPr>
            </w:pPr>
            <w:r w:rsidRPr="00B738A9">
              <w:rPr>
                <w:rFonts w:ascii="Times New Roman" w:hAnsi="Times New Roman"/>
              </w:rPr>
              <w:t>3.</w:t>
            </w:r>
          </w:p>
          <w:p w14:paraId="64B0436F" w14:textId="77777777" w:rsidR="000A536E" w:rsidRPr="00B738A9" w:rsidRDefault="000A536E" w:rsidP="00F52E94">
            <w:pPr>
              <w:spacing w:before="100" w:beforeAutospacing="1" w:after="100" w:afterAutospacing="1"/>
              <w:ind w:left="443"/>
              <w:rPr>
                <w:rFonts w:ascii="Times New Roman" w:hAnsi="Times New Roman"/>
              </w:rPr>
            </w:pPr>
            <w:r w:rsidRPr="00B738A9">
              <w:rPr>
                <w:rFonts w:ascii="Times New Roman" w:hAnsi="Times New Roman"/>
              </w:rPr>
              <w:t>4.</w:t>
            </w:r>
          </w:p>
          <w:p w14:paraId="5917ED63" w14:textId="77777777" w:rsidR="000A536E" w:rsidRPr="00B738A9" w:rsidRDefault="000A536E" w:rsidP="00F52E94">
            <w:pPr>
              <w:spacing w:before="100" w:beforeAutospacing="1" w:after="100" w:afterAutospacing="1"/>
              <w:ind w:left="443"/>
              <w:rPr>
                <w:rFonts w:ascii="Times New Roman" w:hAnsi="Times New Roman"/>
              </w:rPr>
            </w:pPr>
            <w:r w:rsidRPr="00B738A9">
              <w:rPr>
                <w:rFonts w:ascii="Times New Roman" w:hAnsi="Times New Roman"/>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FAD6AB"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i/>
                <w:iCs/>
              </w:rPr>
              <w:t xml:space="preserve">Vērtējums 5 punktu skalā par katru rādītāju, pēc tam aprēķina vidējo, dalot ar kopējo rādītāju skaitu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A2096" w14:textId="77777777" w:rsidR="000A536E" w:rsidRPr="00B738A9" w:rsidRDefault="000A536E" w:rsidP="00F52E94">
            <w:pPr>
              <w:spacing w:before="100" w:beforeAutospacing="1" w:after="100" w:afterAutospacing="1"/>
              <w:rPr>
                <w:rFonts w:ascii="Times New Roman" w:hAnsi="Times New Roman"/>
              </w:rPr>
            </w:pPr>
            <w:r w:rsidRPr="00B738A9">
              <w:rPr>
                <w:rFonts w:ascii="Times New Roman" w:hAnsi="Times New Roman"/>
                <w:i/>
                <w:iCs/>
              </w:rPr>
              <w:t xml:space="preserve">Vērtējums 5 punktu skalā par katru rādītāju, pēc tam aprēķina vidējo, dalot ar kopējo rādītāju skaitu </w:t>
            </w:r>
          </w:p>
        </w:tc>
      </w:tr>
    </w:tbl>
    <w:p w14:paraId="6CE40D23" w14:textId="77777777" w:rsidR="000A536E" w:rsidRPr="00B738A9" w:rsidRDefault="000A536E" w:rsidP="000A536E">
      <w:pPr>
        <w:spacing w:before="100" w:beforeAutospacing="1" w:after="100" w:afterAutospacing="1"/>
        <w:rPr>
          <w:rFonts w:ascii="Times New Roman" w:hAnsi="Times New Roman"/>
        </w:rPr>
      </w:pPr>
      <w:r w:rsidRPr="00B738A9">
        <w:rPr>
          <w:rFonts w:ascii="Times New Roman" w:hAnsi="Times New Roman"/>
          <w:b/>
          <w:bCs/>
        </w:rPr>
        <w:t xml:space="preserve">Kopā (100%) </w:t>
      </w:r>
      <w:r w:rsidRPr="00B738A9">
        <w:rPr>
          <w:rFonts w:ascii="Times New Roman" w:hAnsi="Times New Roman"/>
        </w:rPr>
        <w:t>Vērtējuma rezultāta aprēķins = 0,5*(M</w:t>
      </w:r>
      <w:r w:rsidRPr="00B738A9">
        <w:rPr>
          <w:rFonts w:ascii="Times New Roman" w:hAnsi="Times New Roman"/>
          <w:position w:val="-2"/>
        </w:rPr>
        <w:t>1</w:t>
      </w:r>
      <w:r w:rsidRPr="00B738A9">
        <w:rPr>
          <w:rFonts w:ascii="Times New Roman" w:hAnsi="Times New Roman"/>
        </w:rPr>
        <w:t>+M</w:t>
      </w:r>
      <w:r w:rsidRPr="00B738A9">
        <w:rPr>
          <w:rFonts w:ascii="Times New Roman" w:hAnsi="Times New Roman"/>
          <w:position w:val="-2"/>
        </w:rPr>
        <w:t>2...</w:t>
      </w:r>
      <w:r w:rsidRPr="00B738A9">
        <w:rPr>
          <w:rFonts w:ascii="Times New Roman" w:hAnsi="Times New Roman"/>
        </w:rPr>
        <w:t>+M</w:t>
      </w:r>
      <w:r w:rsidRPr="00B738A9">
        <w:rPr>
          <w:rFonts w:ascii="Times New Roman" w:hAnsi="Times New Roman"/>
          <w:position w:val="-2"/>
        </w:rPr>
        <w:t>n</w:t>
      </w:r>
      <w:r w:rsidRPr="00B738A9">
        <w:rPr>
          <w:rFonts w:ascii="Times New Roman" w:hAnsi="Times New Roman"/>
        </w:rPr>
        <w:t>)/n+0,3*(K</w:t>
      </w:r>
      <w:r w:rsidRPr="00B738A9">
        <w:rPr>
          <w:rFonts w:ascii="Times New Roman" w:hAnsi="Times New Roman"/>
          <w:position w:val="-2"/>
        </w:rPr>
        <w:t>1</w:t>
      </w:r>
      <w:r w:rsidRPr="00B738A9">
        <w:rPr>
          <w:rFonts w:ascii="Times New Roman" w:hAnsi="Times New Roman"/>
        </w:rPr>
        <w:t>+K</w:t>
      </w:r>
      <w:r w:rsidRPr="00B738A9">
        <w:rPr>
          <w:rFonts w:ascii="Times New Roman" w:hAnsi="Times New Roman"/>
          <w:position w:val="-2"/>
        </w:rPr>
        <w:t>2...</w:t>
      </w:r>
      <w:r w:rsidRPr="00B738A9">
        <w:rPr>
          <w:rFonts w:ascii="Times New Roman" w:hAnsi="Times New Roman"/>
        </w:rPr>
        <w:t>+K</w:t>
      </w:r>
      <w:r w:rsidRPr="00B738A9">
        <w:rPr>
          <w:rFonts w:ascii="Times New Roman" w:hAnsi="Times New Roman"/>
          <w:position w:val="-2"/>
        </w:rPr>
        <w:t>n</w:t>
      </w:r>
      <w:r w:rsidRPr="00B738A9">
        <w:rPr>
          <w:rFonts w:ascii="Times New Roman" w:hAnsi="Times New Roman"/>
        </w:rPr>
        <w:t>)/n+0,2(R</w:t>
      </w:r>
      <w:r w:rsidRPr="00B738A9">
        <w:rPr>
          <w:rFonts w:ascii="Times New Roman" w:hAnsi="Times New Roman"/>
          <w:position w:val="-2"/>
        </w:rPr>
        <w:t>1</w:t>
      </w:r>
      <w:r w:rsidRPr="00B738A9">
        <w:rPr>
          <w:rFonts w:ascii="Times New Roman" w:hAnsi="Times New Roman"/>
        </w:rPr>
        <w:t>+R</w:t>
      </w:r>
      <w:r w:rsidRPr="00B738A9">
        <w:rPr>
          <w:rFonts w:ascii="Times New Roman" w:hAnsi="Times New Roman"/>
          <w:position w:val="-2"/>
        </w:rPr>
        <w:t>2...</w:t>
      </w:r>
      <w:r w:rsidRPr="00B738A9">
        <w:rPr>
          <w:rFonts w:ascii="Times New Roman" w:hAnsi="Times New Roman"/>
        </w:rPr>
        <w:t>+R</w:t>
      </w:r>
      <w:r w:rsidRPr="00B738A9">
        <w:rPr>
          <w:rFonts w:ascii="Times New Roman" w:hAnsi="Times New Roman"/>
          <w:position w:val="-2"/>
        </w:rPr>
        <w:t>n</w:t>
      </w:r>
      <w:r w:rsidRPr="00B738A9">
        <w:rPr>
          <w:rFonts w:ascii="Times New Roman" w:hAnsi="Times New Roman"/>
        </w:rPr>
        <w:t xml:space="preserve">)/n </w:t>
      </w:r>
    </w:p>
    <w:p w14:paraId="5BED26FB" w14:textId="77777777" w:rsidR="00E51704" w:rsidRDefault="00E51704"/>
    <w:sectPr w:rsidR="00E51704" w:rsidSect="000A536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F5D09"/>
    <w:multiLevelType w:val="hybridMultilevel"/>
    <w:tmpl w:val="231C63F6"/>
    <w:lvl w:ilvl="0" w:tplc="CA92DB1A">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427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6E"/>
    <w:rsid w:val="000A536E"/>
    <w:rsid w:val="003C45E6"/>
    <w:rsid w:val="00E517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7A1C"/>
  <w15:chartTrackingRefBased/>
  <w15:docId w15:val="{F3323085-F9B3-4A72-AEC3-DBD6197C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36E"/>
    <w:pPr>
      <w:suppressAutoHyphens/>
      <w:autoSpaceDN w:val="0"/>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0A536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0A536E"/>
    <w:rPr>
      <w:rFonts w:ascii="Times New Roman" w:eastAsia="Calibri" w:hAnsi="Times New Roman" w:cs="Times New Roman"/>
      <w:color w:val="000000"/>
      <w:sz w:val="24"/>
      <w:szCs w:val="24"/>
      <w:lang w:val="et-EE"/>
    </w:rPr>
  </w:style>
  <w:style w:type="character" w:customStyle="1" w:styleId="NoSpacingChar">
    <w:name w:val="No Spacing Char"/>
    <w:link w:val="NoSpacing"/>
    <w:locked/>
    <w:rsid w:val="000A536E"/>
    <w:rPr>
      <w:rFonts w:ascii="Times New Roman" w:hAnsi="Times New Roman" w:cs="Times New Roman"/>
      <w:sz w:val="24"/>
      <w:szCs w:val="24"/>
      <w:lang w:eastAsia="ar-SA"/>
    </w:rPr>
  </w:style>
  <w:style w:type="paragraph" w:styleId="NoSpacing">
    <w:name w:val="No Spacing"/>
    <w:link w:val="NoSpacingChar"/>
    <w:qFormat/>
    <w:rsid w:val="000A536E"/>
    <w:pPr>
      <w:suppressAutoHyphens/>
      <w:spacing w:after="0" w:line="240" w:lineRule="auto"/>
    </w:pPr>
    <w:rPr>
      <w:rFonts w:ascii="Times New Roman" w:hAnsi="Times New Roman" w:cs="Times New Roman"/>
      <w:sz w:val="24"/>
      <w:szCs w:val="24"/>
      <w:lang w:eastAsia="ar-SA"/>
    </w:rPr>
  </w:style>
  <w:style w:type="character" w:customStyle="1" w:styleId="ListParagraphChar">
    <w:name w:val="List Paragraph Char"/>
    <w:aliases w:val="Strip Char,H&amp;P List Paragraph Char,2 Char,Virsraksti Char,List Paragraph1 Char,punkti Char,Saraksta rindkopa Char"/>
    <w:link w:val="ListParagraph"/>
    <w:locked/>
    <w:rsid w:val="000A536E"/>
  </w:style>
  <w:style w:type="paragraph" w:styleId="ListParagraph">
    <w:name w:val="List Paragraph"/>
    <w:aliases w:val="Strip,H&amp;P List Paragraph,2,Virsraksti,List Paragraph1,punkti,Saraksta rindkopa"/>
    <w:basedOn w:val="Normal"/>
    <w:link w:val="ListParagraphChar"/>
    <w:qFormat/>
    <w:rsid w:val="000A536E"/>
    <w:pPr>
      <w:suppressAutoHyphens w:val="0"/>
      <w:autoSpaceDN/>
      <w:spacing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3798</Words>
  <Characters>2165</Characters>
  <Application>Microsoft Office Word</Application>
  <DocSecurity>0</DocSecurity>
  <Lines>18</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2022-05-25T07:31:00Z</dcterms:created>
  <dcterms:modified xsi:type="dcterms:W3CDTF">2022-05-30T13:20:00Z</dcterms:modified>
</cp:coreProperties>
</file>